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7BA0" w14:textId="77777777" w:rsidR="000F6BEC" w:rsidRDefault="000F6BEC">
      <w:pPr>
        <w:rPr>
          <w:rFonts w:ascii="Garamond" w:hAnsi="Garamond"/>
          <w:b/>
          <w:snapToGrid w:val="0"/>
          <w:color w:val="000000"/>
          <w:lang w:val="en-US"/>
        </w:rPr>
      </w:pPr>
    </w:p>
    <w:p w14:paraId="7AEE7BA1" w14:textId="77777777" w:rsidR="00935AC1" w:rsidRDefault="00935AC1" w:rsidP="00E72832">
      <w:pPr>
        <w:jc w:val="center"/>
        <w:rPr>
          <w:rFonts w:ascii="Garamond" w:hAnsi="Garamond"/>
          <w:b/>
          <w:snapToGrid w:val="0"/>
          <w:color w:val="000000"/>
          <w:lang w:val="en-US"/>
        </w:rPr>
      </w:pPr>
    </w:p>
    <w:p w14:paraId="7AEE7BA2" w14:textId="77777777" w:rsidR="00935AC1" w:rsidRDefault="00A04604" w:rsidP="00E72832">
      <w:pPr>
        <w:jc w:val="center"/>
        <w:rPr>
          <w:rFonts w:ascii="Garamond" w:hAnsi="Garamond"/>
          <w:b/>
          <w:snapToGrid w:val="0"/>
          <w:color w:val="000000"/>
          <w:lang w:val="en-US"/>
        </w:rPr>
      </w:pPr>
      <w:r>
        <w:rPr>
          <w:rFonts w:ascii="Garamond" w:hAnsi="Garamond"/>
          <w:b/>
          <w:noProof/>
          <w:snapToGrid w:val="0"/>
          <w:color w:val="000000"/>
          <w:lang w:val="en-IE" w:eastAsia="en-IE"/>
        </w:rPr>
        <w:drawing>
          <wp:anchor distT="0" distB="0" distL="114300" distR="114300" simplePos="0" relativeHeight="251658240" behindDoc="1" locked="0" layoutInCell="1" allowOverlap="1" wp14:anchorId="7AEE7C0D" wp14:editId="7AEE7C0E">
            <wp:simplePos x="0" y="0"/>
            <wp:positionH relativeFrom="margin">
              <wp:align>center</wp:align>
            </wp:positionH>
            <wp:positionV relativeFrom="paragraph">
              <wp:posOffset>123825</wp:posOffset>
            </wp:positionV>
            <wp:extent cx="3462655" cy="1731645"/>
            <wp:effectExtent l="0" t="0" r="4445" b="1905"/>
            <wp:wrapTight wrapText="bothSides">
              <wp:wrapPolygon edited="0">
                <wp:start x="0" y="0"/>
                <wp:lineTo x="0" y="21386"/>
                <wp:lineTo x="21509" y="2138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655" cy="1731645"/>
                    </a:xfrm>
                    <a:prstGeom prst="rect">
                      <a:avLst/>
                    </a:prstGeom>
                    <a:noFill/>
                  </pic:spPr>
                </pic:pic>
              </a:graphicData>
            </a:graphic>
            <wp14:sizeRelH relativeFrom="page">
              <wp14:pctWidth>0</wp14:pctWidth>
            </wp14:sizeRelH>
            <wp14:sizeRelV relativeFrom="page">
              <wp14:pctHeight>0</wp14:pctHeight>
            </wp14:sizeRelV>
          </wp:anchor>
        </w:drawing>
      </w:r>
    </w:p>
    <w:p w14:paraId="7AEE7BA3" w14:textId="77777777" w:rsidR="00935AC1" w:rsidRDefault="00935AC1" w:rsidP="00E72832">
      <w:pPr>
        <w:jc w:val="center"/>
        <w:rPr>
          <w:rFonts w:ascii="Garamond" w:hAnsi="Garamond"/>
          <w:b/>
          <w:snapToGrid w:val="0"/>
          <w:color w:val="000000"/>
          <w:lang w:val="en-US"/>
        </w:rPr>
      </w:pPr>
    </w:p>
    <w:p w14:paraId="7AEE7BA4" w14:textId="77777777" w:rsidR="00935AC1" w:rsidRDefault="00935AC1" w:rsidP="00E72832">
      <w:pPr>
        <w:jc w:val="center"/>
        <w:rPr>
          <w:rFonts w:ascii="Garamond" w:hAnsi="Garamond"/>
          <w:b/>
          <w:snapToGrid w:val="0"/>
          <w:color w:val="000000"/>
          <w:lang w:val="en-US"/>
        </w:rPr>
      </w:pPr>
    </w:p>
    <w:p w14:paraId="7AEE7BA5" w14:textId="77777777" w:rsidR="00935AC1" w:rsidRDefault="00935AC1" w:rsidP="00E72832">
      <w:pPr>
        <w:jc w:val="center"/>
        <w:rPr>
          <w:rFonts w:ascii="Garamond" w:hAnsi="Garamond"/>
          <w:b/>
          <w:snapToGrid w:val="0"/>
          <w:color w:val="000000"/>
          <w:lang w:val="en-US"/>
        </w:rPr>
      </w:pPr>
    </w:p>
    <w:p w14:paraId="7AEE7BA6" w14:textId="77777777" w:rsidR="00935AC1" w:rsidRDefault="00935AC1" w:rsidP="00E72832">
      <w:pPr>
        <w:jc w:val="center"/>
        <w:rPr>
          <w:rFonts w:ascii="Garamond" w:hAnsi="Garamond"/>
          <w:b/>
          <w:snapToGrid w:val="0"/>
          <w:color w:val="000000"/>
          <w:lang w:val="en-US"/>
        </w:rPr>
      </w:pPr>
    </w:p>
    <w:p w14:paraId="7AEE7BA7" w14:textId="77777777" w:rsidR="00935AC1" w:rsidRDefault="00935AC1" w:rsidP="00E72832">
      <w:pPr>
        <w:jc w:val="center"/>
        <w:rPr>
          <w:rFonts w:ascii="Garamond" w:hAnsi="Garamond"/>
          <w:b/>
          <w:snapToGrid w:val="0"/>
          <w:color w:val="000000"/>
          <w:lang w:val="en-US"/>
        </w:rPr>
      </w:pPr>
    </w:p>
    <w:p w14:paraId="7AEE7BA8" w14:textId="77777777" w:rsidR="00935AC1" w:rsidRDefault="00935AC1" w:rsidP="00E72832">
      <w:pPr>
        <w:jc w:val="center"/>
        <w:rPr>
          <w:rFonts w:ascii="Garamond" w:hAnsi="Garamond"/>
          <w:b/>
          <w:snapToGrid w:val="0"/>
          <w:color w:val="000000"/>
          <w:lang w:val="en-US"/>
        </w:rPr>
      </w:pPr>
    </w:p>
    <w:p w14:paraId="7AEE7BA9" w14:textId="77777777" w:rsidR="00935AC1" w:rsidRDefault="00935AC1" w:rsidP="00E72832">
      <w:pPr>
        <w:jc w:val="center"/>
        <w:rPr>
          <w:rFonts w:ascii="Garamond" w:hAnsi="Garamond"/>
          <w:b/>
          <w:snapToGrid w:val="0"/>
          <w:color w:val="000000"/>
          <w:lang w:val="en-US"/>
        </w:rPr>
      </w:pPr>
    </w:p>
    <w:p w14:paraId="7AEE7BAA" w14:textId="77777777" w:rsidR="00935AC1" w:rsidRDefault="00935AC1" w:rsidP="00E72832">
      <w:pPr>
        <w:jc w:val="center"/>
        <w:rPr>
          <w:rFonts w:ascii="Garamond" w:hAnsi="Garamond"/>
          <w:b/>
          <w:snapToGrid w:val="0"/>
          <w:color w:val="000000"/>
          <w:lang w:val="en-US"/>
        </w:rPr>
      </w:pPr>
    </w:p>
    <w:p w14:paraId="7AEE7BAB" w14:textId="77777777" w:rsidR="00935AC1" w:rsidRDefault="00935AC1" w:rsidP="00E72832">
      <w:pPr>
        <w:jc w:val="center"/>
        <w:rPr>
          <w:rFonts w:ascii="Garamond" w:hAnsi="Garamond"/>
          <w:b/>
          <w:snapToGrid w:val="0"/>
          <w:color w:val="000000"/>
          <w:lang w:val="en-US"/>
        </w:rPr>
      </w:pPr>
    </w:p>
    <w:p w14:paraId="7AEE7BAC" w14:textId="77777777" w:rsidR="00935AC1" w:rsidRDefault="00935AC1" w:rsidP="00D939CE">
      <w:pPr>
        <w:rPr>
          <w:b/>
          <w:u w:val="single"/>
        </w:rPr>
      </w:pPr>
    </w:p>
    <w:p w14:paraId="7AEE7BAD" w14:textId="77777777" w:rsidR="00935AC1" w:rsidRDefault="00935AC1" w:rsidP="00D939CE">
      <w:pPr>
        <w:rPr>
          <w:b/>
          <w:u w:val="single"/>
        </w:rPr>
      </w:pPr>
    </w:p>
    <w:p w14:paraId="7AEE7BAE" w14:textId="77777777" w:rsidR="00935AC1" w:rsidRDefault="00935AC1" w:rsidP="00D939CE">
      <w:pPr>
        <w:rPr>
          <w:b/>
          <w:u w:val="single"/>
        </w:rPr>
      </w:pPr>
    </w:p>
    <w:tbl>
      <w:tblPr>
        <w:tblpPr w:leftFromText="187" w:rightFromText="187" w:vertAnchor="page" w:horzAnchor="margin" w:tblpY="5026"/>
        <w:tblW w:w="5000" w:type="pct"/>
        <w:tblCellMar>
          <w:top w:w="216" w:type="dxa"/>
          <w:left w:w="216" w:type="dxa"/>
          <w:bottom w:w="216" w:type="dxa"/>
          <w:right w:w="216" w:type="dxa"/>
        </w:tblCellMar>
        <w:tblLook w:val="04A0" w:firstRow="1" w:lastRow="0" w:firstColumn="1" w:lastColumn="0" w:noHBand="0" w:noVBand="1"/>
      </w:tblPr>
      <w:tblGrid>
        <w:gridCol w:w="4376"/>
        <w:gridCol w:w="5828"/>
      </w:tblGrid>
      <w:tr w:rsidR="00935AC1" w:rsidRPr="00E7315C" w14:paraId="7AEE7BB5" w14:textId="77777777" w:rsidTr="00935AC1">
        <w:tc>
          <w:tcPr>
            <w:tcW w:w="4376" w:type="dxa"/>
            <w:tcBorders>
              <w:bottom w:val="single" w:sz="18" w:space="0" w:color="808080"/>
              <w:right w:val="single" w:sz="18" w:space="0" w:color="808080"/>
            </w:tcBorders>
            <w:vAlign w:val="center"/>
          </w:tcPr>
          <w:p w14:paraId="7AEE7BAF" w14:textId="77777777" w:rsidR="00935AC1" w:rsidRDefault="00935AC1" w:rsidP="00935AC1">
            <w:pPr>
              <w:jc w:val="center"/>
              <w:rPr>
                <w:rStyle w:val="IntenseEmphasis"/>
                <w:color w:val="000000" w:themeColor="text1"/>
                <w:sz w:val="52"/>
                <w:szCs w:val="52"/>
              </w:rPr>
            </w:pPr>
          </w:p>
          <w:p w14:paraId="7AEE7BB0" w14:textId="77777777" w:rsidR="00935AC1" w:rsidRDefault="00935AC1" w:rsidP="00935AC1">
            <w:pPr>
              <w:jc w:val="center"/>
              <w:rPr>
                <w:rStyle w:val="IntenseEmphasis"/>
                <w:color w:val="000000" w:themeColor="text1"/>
                <w:sz w:val="52"/>
                <w:szCs w:val="52"/>
              </w:rPr>
            </w:pPr>
          </w:p>
          <w:p w14:paraId="7AEE7BB1" w14:textId="60BB53BA" w:rsidR="00935AC1" w:rsidRPr="00DD27EF" w:rsidRDefault="00F90C1E" w:rsidP="00935AC1">
            <w:pPr>
              <w:rPr>
                <w:b/>
                <w:i/>
                <w:iCs/>
                <w:color w:val="000000" w:themeColor="text1"/>
                <w:sz w:val="72"/>
                <w:szCs w:val="72"/>
              </w:rPr>
            </w:pPr>
            <w:r>
              <w:rPr>
                <w:rStyle w:val="IntenseEmphasis"/>
                <w:b/>
                <w:i w:val="0"/>
                <w:color w:val="000000" w:themeColor="text1"/>
                <w:sz w:val="72"/>
                <w:szCs w:val="72"/>
              </w:rPr>
              <w:t>One to One Meeting</w:t>
            </w:r>
            <w:r w:rsidR="00DD27EF" w:rsidRPr="00DD27EF">
              <w:rPr>
                <w:rStyle w:val="IntenseEmphasis"/>
                <w:b/>
                <w:i w:val="0"/>
                <w:color w:val="000000" w:themeColor="text1"/>
                <w:sz w:val="72"/>
                <w:szCs w:val="72"/>
              </w:rPr>
              <w:t xml:space="preserve"> Policy</w:t>
            </w:r>
          </w:p>
          <w:p w14:paraId="7AEE7BB2" w14:textId="77777777" w:rsidR="00935AC1" w:rsidRPr="00935AC1" w:rsidRDefault="00935AC1" w:rsidP="00935AC1">
            <w:pPr>
              <w:jc w:val="center"/>
              <w:rPr>
                <w:i/>
                <w:iCs/>
                <w:color w:val="000000" w:themeColor="text1"/>
                <w:sz w:val="52"/>
                <w:szCs w:val="52"/>
              </w:rPr>
            </w:pPr>
          </w:p>
        </w:tc>
        <w:tc>
          <w:tcPr>
            <w:tcW w:w="5828" w:type="dxa"/>
            <w:tcBorders>
              <w:left w:val="single" w:sz="18" w:space="0" w:color="808080"/>
              <w:bottom w:val="single" w:sz="18" w:space="0" w:color="808080"/>
            </w:tcBorders>
            <w:vAlign w:val="center"/>
          </w:tcPr>
          <w:p w14:paraId="7AEE7BB3" w14:textId="77777777" w:rsidR="00935AC1" w:rsidRPr="00E7315C" w:rsidRDefault="00935AC1" w:rsidP="00935AC1">
            <w:pPr>
              <w:rPr>
                <w:rFonts w:ascii="Century Gothic" w:hAnsi="Century Gothic"/>
                <w:sz w:val="36"/>
                <w:szCs w:val="36"/>
                <w:lang w:val="en-US"/>
              </w:rPr>
            </w:pPr>
            <w:r>
              <w:rPr>
                <w:rFonts w:ascii="Century Gothic" w:hAnsi="Century Gothic"/>
                <w:sz w:val="36"/>
                <w:szCs w:val="36"/>
                <w:lang w:val="en-US"/>
              </w:rPr>
              <w:t>DRAFT</w:t>
            </w:r>
          </w:p>
          <w:p w14:paraId="7AEE7BB4" w14:textId="310F29F0" w:rsidR="00935AC1" w:rsidRPr="00E7315C" w:rsidRDefault="00935AC1" w:rsidP="00935AC1">
            <w:pPr>
              <w:rPr>
                <w:rFonts w:ascii="Century Gothic" w:hAnsi="Century Gothic"/>
                <w:color w:val="005BD3"/>
                <w:sz w:val="200"/>
                <w:szCs w:val="200"/>
                <w:lang w:val="en-US"/>
              </w:rPr>
            </w:pPr>
            <w:r w:rsidRPr="00E7315C">
              <w:rPr>
                <w:rFonts w:ascii="Century Gothic" w:hAnsi="Century Gothic"/>
                <w:color w:val="005BD3"/>
                <w:sz w:val="200"/>
                <w:szCs w:val="200"/>
                <w:lang w:val="en-US"/>
              </w:rPr>
              <w:t>201</w:t>
            </w:r>
            <w:r w:rsidR="00F90C1E">
              <w:rPr>
                <w:rFonts w:ascii="Century Gothic" w:hAnsi="Century Gothic"/>
                <w:color w:val="005BD3"/>
                <w:sz w:val="200"/>
                <w:szCs w:val="200"/>
                <w:lang w:val="en-US"/>
              </w:rPr>
              <w:t>9</w:t>
            </w:r>
          </w:p>
        </w:tc>
      </w:tr>
    </w:tbl>
    <w:p w14:paraId="7AEE7BB6" w14:textId="77777777" w:rsidR="00935AC1" w:rsidRDefault="00935AC1" w:rsidP="00D939CE">
      <w:pPr>
        <w:rPr>
          <w:b/>
          <w:u w:val="single"/>
        </w:rPr>
      </w:pPr>
    </w:p>
    <w:p w14:paraId="7AEE7BB7" w14:textId="77777777" w:rsidR="00935AC1" w:rsidRDefault="00935AC1" w:rsidP="00D939CE">
      <w:pPr>
        <w:rPr>
          <w:b/>
          <w:u w:val="single"/>
        </w:rPr>
      </w:pPr>
    </w:p>
    <w:p w14:paraId="7AEE7BB8" w14:textId="77777777" w:rsidR="00935AC1" w:rsidRDefault="00935AC1" w:rsidP="00D939CE">
      <w:pPr>
        <w:rPr>
          <w:b/>
          <w:u w:val="single"/>
        </w:rPr>
      </w:pPr>
    </w:p>
    <w:p w14:paraId="7AEE7BB9" w14:textId="77777777" w:rsidR="00935AC1" w:rsidRDefault="00935AC1" w:rsidP="00D939CE">
      <w:pPr>
        <w:rPr>
          <w:b/>
          <w:u w:val="single"/>
        </w:rPr>
      </w:pPr>
    </w:p>
    <w:p w14:paraId="7AEE7BBA" w14:textId="77777777" w:rsidR="00D939CE" w:rsidRPr="00C65A56" w:rsidRDefault="00D939CE" w:rsidP="00D939CE">
      <w:pPr>
        <w:rPr>
          <w:b/>
          <w:u w:val="single"/>
        </w:rPr>
      </w:pPr>
      <w:r w:rsidRPr="00C65A56">
        <w:rPr>
          <w:b/>
          <w:u w:val="single"/>
        </w:rPr>
        <w:t>Mission Statement</w:t>
      </w:r>
    </w:p>
    <w:p w14:paraId="7AEE7BBB" w14:textId="77777777" w:rsidR="00D939CE" w:rsidRPr="00C65A56" w:rsidRDefault="00D939CE" w:rsidP="00D939CE">
      <w:pPr>
        <w:rPr>
          <w:b/>
          <w:u w:val="single"/>
        </w:rPr>
      </w:pPr>
    </w:p>
    <w:p w14:paraId="7AEE7BBC" w14:textId="77777777" w:rsidR="00D939CE" w:rsidRPr="00C65A56" w:rsidRDefault="00D939CE" w:rsidP="00D939CE">
      <w:r w:rsidRPr="00C65A56">
        <w:t>Ramsgrange Community School is a welcoming, open and inclusive school. Our aim is to develop each of our students as a whole person by promoting an atmosphere of respect, honesty and fairness in which all of the school community can achieve their full potential.</w:t>
      </w:r>
    </w:p>
    <w:p w14:paraId="7AEE7BBD" w14:textId="77777777" w:rsidR="00935AC1" w:rsidRPr="00C65A56" w:rsidRDefault="00935AC1" w:rsidP="00D939CE">
      <w:pPr>
        <w:jc w:val="center"/>
      </w:pPr>
    </w:p>
    <w:p w14:paraId="7AEE7BBE" w14:textId="77777777" w:rsidR="00D939CE" w:rsidRPr="00C65A56" w:rsidRDefault="00D939CE" w:rsidP="00D939CE">
      <w:pPr>
        <w:jc w:val="center"/>
      </w:pPr>
      <w:r w:rsidRPr="00C65A56">
        <w:t>RCS Vision: Respect, Community, Success</w:t>
      </w:r>
    </w:p>
    <w:p w14:paraId="7AEE7BBF" w14:textId="77777777" w:rsidR="00D939CE" w:rsidRPr="00C65A56" w:rsidRDefault="00D939CE" w:rsidP="00D939CE">
      <w:pPr>
        <w:rPr>
          <w:b/>
        </w:rPr>
      </w:pPr>
    </w:p>
    <w:p w14:paraId="7AEE7BC0" w14:textId="77777777" w:rsidR="00935AC1" w:rsidRPr="00C65A56" w:rsidRDefault="00935AC1">
      <w:pPr>
        <w:rPr>
          <w:b/>
          <w:u w:val="single"/>
        </w:rPr>
      </w:pPr>
    </w:p>
    <w:p w14:paraId="7AEE7BC1" w14:textId="77777777" w:rsidR="00935AC1" w:rsidRPr="00C65A56" w:rsidRDefault="00935AC1">
      <w:pPr>
        <w:rPr>
          <w:b/>
          <w:u w:val="single"/>
        </w:rPr>
      </w:pPr>
    </w:p>
    <w:p w14:paraId="7AEE7BC2" w14:textId="77777777" w:rsidR="00935AC1" w:rsidRPr="00C65A56" w:rsidRDefault="00935AC1">
      <w:pPr>
        <w:rPr>
          <w:b/>
          <w:u w:val="single"/>
        </w:rPr>
      </w:pPr>
    </w:p>
    <w:p w14:paraId="7AEE7BC3" w14:textId="77777777" w:rsidR="00935AC1" w:rsidRPr="00C65A56" w:rsidRDefault="00935AC1">
      <w:pPr>
        <w:rPr>
          <w:b/>
          <w:u w:val="single"/>
        </w:rPr>
      </w:pPr>
    </w:p>
    <w:p w14:paraId="7AEE7BC4" w14:textId="77777777" w:rsidR="00935AC1" w:rsidRPr="00C65A56" w:rsidRDefault="00935AC1">
      <w:pPr>
        <w:rPr>
          <w:b/>
          <w:u w:val="single"/>
        </w:rPr>
      </w:pPr>
    </w:p>
    <w:p w14:paraId="7AEE7BC5" w14:textId="77777777" w:rsidR="00935AC1" w:rsidRPr="00C65A56" w:rsidRDefault="00935AC1">
      <w:pPr>
        <w:rPr>
          <w:b/>
          <w:u w:val="single"/>
        </w:rPr>
      </w:pPr>
    </w:p>
    <w:p w14:paraId="7AEE7BC6" w14:textId="77777777" w:rsidR="00935AC1" w:rsidRPr="00C65A56" w:rsidRDefault="00935AC1">
      <w:pPr>
        <w:rPr>
          <w:b/>
          <w:u w:val="single"/>
        </w:rPr>
      </w:pPr>
    </w:p>
    <w:p w14:paraId="7AEE7BC7" w14:textId="77777777" w:rsidR="00935AC1" w:rsidRPr="00C65A56" w:rsidRDefault="00935AC1">
      <w:pPr>
        <w:rPr>
          <w:b/>
          <w:u w:val="single"/>
        </w:rPr>
      </w:pPr>
    </w:p>
    <w:p w14:paraId="7AEE7BC8" w14:textId="77777777" w:rsidR="00935AC1" w:rsidRPr="00C65A56" w:rsidRDefault="00935AC1">
      <w:pPr>
        <w:rPr>
          <w:b/>
          <w:u w:val="single"/>
        </w:rPr>
      </w:pPr>
    </w:p>
    <w:p w14:paraId="7AEE7BC9" w14:textId="77777777" w:rsidR="00935AC1" w:rsidRPr="00C65A56" w:rsidRDefault="00935AC1">
      <w:pPr>
        <w:rPr>
          <w:b/>
          <w:u w:val="single"/>
        </w:rPr>
      </w:pPr>
    </w:p>
    <w:p w14:paraId="7AEE7BCA" w14:textId="77777777" w:rsidR="00935AC1" w:rsidRPr="00C65A56" w:rsidRDefault="00935AC1">
      <w:pPr>
        <w:rPr>
          <w:b/>
          <w:u w:val="single"/>
        </w:rPr>
      </w:pPr>
    </w:p>
    <w:p w14:paraId="7AEE7BCB" w14:textId="77777777" w:rsidR="00935AC1" w:rsidRPr="00C65A56" w:rsidRDefault="00935AC1">
      <w:pPr>
        <w:rPr>
          <w:b/>
          <w:u w:val="single"/>
        </w:rPr>
      </w:pPr>
    </w:p>
    <w:p w14:paraId="7AEE7BCC" w14:textId="77777777" w:rsidR="00073387" w:rsidRPr="00C65A56" w:rsidRDefault="00073387">
      <w:pPr>
        <w:rPr>
          <w:b/>
          <w:u w:val="single"/>
        </w:rPr>
      </w:pPr>
      <w:r w:rsidRPr="00C65A56">
        <w:rPr>
          <w:b/>
          <w:u w:val="single"/>
        </w:rPr>
        <w:t xml:space="preserve">Rationale: </w:t>
      </w:r>
    </w:p>
    <w:p w14:paraId="7AEE7BCD" w14:textId="77777777" w:rsidR="00073387" w:rsidRPr="00C65A56" w:rsidRDefault="00073387"/>
    <w:p w14:paraId="7AEE7BD2" w14:textId="47286B28" w:rsidR="00D939CE" w:rsidRPr="00C65A56" w:rsidRDefault="006835AB">
      <w:r w:rsidRPr="00C65A56">
        <w:t>It is the policy of this school that one-to – one counselling</w:t>
      </w:r>
      <w:r w:rsidR="00DC241E">
        <w:t xml:space="preserve">, </w:t>
      </w:r>
      <w:r w:rsidRPr="00C65A56">
        <w:t>teaching</w:t>
      </w:r>
      <w:r w:rsidR="00FE2B5D">
        <w:t xml:space="preserve">, detention and other </w:t>
      </w:r>
      <w:r w:rsidR="006C5AD9">
        <w:t>school-based</w:t>
      </w:r>
      <w:r w:rsidR="00FE2B5D">
        <w:t xml:space="preserve"> activities</w:t>
      </w:r>
      <w:r w:rsidRPr="00C65A56">
        <w:t xml:space="preserve"> </w:t>
      </w:r>
      <w:r w:rsidR="001A6CCB">
        <w:t>are</w:t>
      </w:r>
      <w:bookmarkStart w:id="0" w:name="_GoBack"/>
      <w:bookmarkEnd w:id="0"/>
      <w:r w:rsidRPr="00C65A56">
        <w:t xml:space="preserve"> often in the best interest of the student. Where one-to one sessions occur, this will take place in an open environment i.e. staff member and pupil visible through a glass panelled door</w:t>
      </w:r>
      <w:r w:rsidR="006C5AD9">
        <w:t xml:space="preserve">, </w:t>
      </w:r>
      <w:r w:rsidRPr="00C65A56">
        <w:t>an open doo</w:t>
      </w:r>
      <w:r w:rsidR="006C5AD9">
        <w:t>r or public space e.g. Central Area.</w:t>
      </w:r>
      <w:r w:rsidRPr="00C65A56">
        <w:t xml:space="preserve"> </w:t>
      </w:r>
    </w:p>
    <w:p w14:paraId="17257BD7" w14:textId="77777777" w:rsidR="006835AB" w:rsidRPr="00C65A56" w:rsidRDefault="006835AB"/>
    <w:p w14:paraId="7AEE7BE1" w14:textId="77777777" w:rsidR="000867AD" w:rsidRPr="00C65A56" w:rsidRDefault="000867AD">
      <w:pPr>
        <w:rPr>
          <w:b/>
          <w:snapToGrid w:val="0"/>
          <w:color w:val="000000"/>
          <w:lang w:val="en-US"/>
        </w:rPr>
      </w:pPr>
    </w:p>
    <w:p w14:paraId="7AEE7BE2" w14:textId="77777777" w:rsidR="00E72832" w:rsidRPr="00C65A56" w:rsidRDefault="00E72832" w:rsidP="00E72832">
      <w:pPr>
        <w:rPr>
          <w:b/>
        </w:rPr>
      </w:pPr>
      <w:r w:rsidRPr="00C65A56">
        <w:rPr>
          <w:b/>
        </w:rPr>
        <w:t>Other school policies:</w:t>
      </w:r>
    </w:p>
    <w:p w14:paraId="7AEE7BE3" w14:textId="77777777" w:rsidR="00E72832" w:rsidRPr="00C65A56" w:rsidRDefault="00E72832" w:rsidP="00E72832"/>
    <w:p w14:paraId="7AEE7BE4" w14:textId="2AA4CFA1" w:rsidR="00E72832" w:rsidRPr="00C65A56" w:rsidRDefault="00E72832" w:rsidP="00E72832">
      <w:r w:rsidRPr="00C65A56">
        <w:t xml:space="preserve">The following is a list of school policies, practices and activities that are particularly relevant to </w:t>
      </w:r>
      <w:r w:rsidR="00DE220C" w:rsidRPr="00C65A56">
        <w:t>One to One Meeting Policy</w:t>
      </w:r>
    </w:p>
    <w:p w14:paraId="7AEE7BE5" w14:textId="77777777" w:rsidR="00E72832" w:rsidRPr="00C65A56" w:rsidRDefault="00E72832" w:rsidP="00E72832">
      <w:pPr>
        <w:pStyle w:val="ListParagraph"/>
        <w:rPr>
          <w:rFonts w:ascii="Times New Roman" w:hAnsi="Times New Roman" w:cs="Times New Roman"/>
          <w:sz w:val="24"/>
          <w:szCs w:val="24"/>
        </w:rPr>
      </w:pPr>
    </w:p>
    <w:p w14:paraId="7AEE7BE6"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Mission Statement</w:t>
      </w:r>
    </w:p>
    <w:p w14:paraId="7AEE7BE7"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Anti-Bullying</w:t>
      </w:r>
    </w:p>
    <w:p w14:paraId="7AEE7BE8"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The School Care Team</w:t>
      </w:r>
    </w:p>
    <w:p w14:paraId="7AEE7BEA"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Extra-curricular activity</w:t>
      </w:r>
    </w:p>
    <w:p w14:paraId="7AEE7BEB"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Code of Behaviour</w:t>
      </w:r>
    </w:p>
    <w:p w14:paraId="7AEE7BEC"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Class Tutor system</w:t>
      </w:r>
    </w:p>
    <w:p w14:paraId="7AEE7BED" w14:textId="77777777" w:rsidR="00E72832" w:rsidRPr="00C65A56" w:rsidRDefault="00E72832" w:rsidP="00E72832">
      <w:pPr>
        <w:pStyle w:val="ListParagraph"/>
        <w:numPr>
          <w:ilvl w:val="1"/>
          <w:numId w:val="24"/>
        </w:numPr>
        <w:rPr>
          <w:rFonts w:ascii="Times New Roman" w:hAnsi="Times New Roman" w:cs="Times New Roman"/>
          <w:sz w:val="24"/>
          <w:szCs w:val="24"/>
        </w:rPr>
      </w:pPr>
      <w:r w:rsidRPr="00C65A56">
        <w:rPr>
          <w:rFonts w:ascii="Times New Roman" w:hAnsi="Times New Roman" w:cs="Times New Roman"/>
          <w:sz w:val="24"/>
          <w:szCs w:val="24"/>
        </w:rPr>
        <w:t>Major Incidents procedures</w:t>
      </w:r>
    </w:p>
    <w:p w14:paraId="7AEE7BEE" w14:textId="77777777" w:rsidR="00E72832" w:rsidRPr="00C65A56" w:rsidRDefault="00E72832" w:rsidP="00E72832">
      <w:pPr>
        <w:pStyle w:val="ListParagraph"/>
        <w:rPr>
          <w:rFonts w:ascii="Times New Roman" w:hAnsi="Times New Roman" w:cs="Times New Roman"/>
          <w:sz w:val="24"/>
          <w:szCs w:val="24"/>
        </w:rPr>
      </w:pPr>
    </w:p>
    <w:p w14:paraId="7AEE7BEF" w14:textId="77777777" w:rsidR="00E72832" w:rsidRPr="00C65A56" w:rsidRDefault="00E72832" w:rsidP="00E72832">
      <w:r w:rsidRPr="00C65A56">
        <w:t>The Board has ensured that the necessary policies, protocols or practices as appropriate are in place in respect of each of the above listed items.</w:t>
      </w:r>
    </w:p>
    <w:p w14:paraId="7AEE7BF0" w14:textId="77777777" w:rsidR="00D939CE" w:rsidRPr="00C65A56" w:rsidRDefault="00D939CE">
      <w:pPr>
        <w:rPr>
          <w:b/>
          <w:snapToGrid w:val="0"/>
          <w:color w:val="000000"/>
          <w:lang w:val="en-US"/>
        </w:rPr>
      </w:pPr>
    </w:p>
    <w:p w14:paraId="11B0E451" w14:textId="6002E431" w:rsidR="00E7515B" w:rsidRPr="00C65A56" w:rsidRDefault="00E7515B" w:rsidP="00E7515B">
      <w:pPr>
        <w:rPr>
          <w:b/>
          <w:snapToGrid w:val="0"/>
          <w:color w:val="000000"/>
          <w:u w:val="single"/>
          <w:lang w:val="en-US"/>
        </w:rPr>
      </w:pPr>
      <w:r w:rsidRPr="00C65A56">
        <w:rPr>
          <w:b/>
          <w:snapToGrid w:val="0"/>
          <w:color w:val="000000"/>
          <w:u w:val="single"/>
          <w:lang w:val="en-US"/>
        </w:rPr>
        <w:t>One-to-One counselling (External Counsellor/Guidance Counsellor) Procedure</w:t>
      </w:r>
      <w:r w:rsidR="00C65A56">
        <w:rPr>
          <w:b/>
          <w:snapToGrid w:val="0"/>
          <w:color w:val="000000"/>
          <w:u w:val="single"/>
          <w:lang w:val="en-US"/>
        </w:rPr>
        <w:t>:</w:t>
      </w:r>
    </w:p>
    <w:p w14:paraId="52494EC7" w14:textId="77777777" w:rsidR="00C65A56" w:rsidRPr="00C65A56" w:rsidRDefault="00C65A56" w:rsidP="00E7515B">
      <w:pPr>
        <w:rPr>
          <w:b/>
          <w:snapToGrid w:val="0"/>
          <w:color w:val="000000"/>
          <w:lang w:val="en-US"/>
        </w:rPr>
      </w:pPr>
    </w:p>
    <w:p w14:paraId="4A33B444" w14:textId="3E693F8E" w:rsidR="00E7515B" w:rsidRDefault="00E7515B" w:rsidP="00E7515B">
      <w:pPr>
        <w:rPr>
          <w:b/>
          <w:snapToGrid w:val="0"/>
          <w:color w:val="000000"/>
          <w:u w:val="single"/>
          <w:lang w:val="en-US"/>
        </w:rPr>
      </w:pPr>
      <w:r w:rsidRPr="00C65A56">
        <w:rPr>
          <w:b/>
          <w:snapToGrid w:val="0"/>
          <w:color w:val="000000"/>
          <w:u w:val="single"/>
          <w:lang w:val="en-US"/>
        </w:rPr>
        <w:t>General</w:t>
      </w:r>
    </w:p>
    <w:p w14:paraId="66B7F8BC" w14:textId="77777777" w:rsidR="00C65A56" w:rsidRPr="00C65A56" w:rsidRDefault="00C65A56" w:rsidP="00E7515B">
      <w:pPr>
        <w:rPr>
          <w:b/>
          <w:snapToGrid w:val="0"/>
          <w:color w:val="000000"/>
          <w:u w:val="single"/>
          <w:lang w:val="en-US"/>
        </w:rPr>
      </w:pPr>
    </w:p>
    <w:p w14:paraId="12FEF884" w14:textId="77777777" w:rsidR="00C65A56" w:rsidRDefault="00E7515B" w:rsidP="00E7515B">
      <w:pPr>
        <w:rPr>
          <w:bCs/>
          <w:snapToGrid w:val="0"/>
          <w:color w:val="000000"/>
          <w:lang w:val="en-US"/>
        </w:rPr>
      </w:pPr>
      <w:r w:rsidRPr="00C65A56">
        <w:rPr>
          <w:bCs/>
          <w:snapToGrid w:val="0"/>
          <w:color w:val="000000"/>
          <w:lang w:val="en-US"/>
        </w:rPr>
        <w:t xml:space="preserve">The external counsellor is a fully qualified IACP counsellor and garda vetted. The guidance counsellor is a fully qualified guidance counsellor member of the Teaching Council and Garda Vetted. As a full member of the (IACP) Irish Association for Counselling &amp; Psychotherapy the counsellor is compliant with IACP the Code of ethics and practice for Counsellors/Psychotherapists. The guidance counsellor is a full member of the Institute of Guidance Counsellors (IGC) and is available to attend five sessions of Supervision through the IGC each academic year.  The counsellor will have sensible regard for the student’s beliefs and values. They will work in ways to promote the students’ personal autonomy, freedom of choice and self-direction.  The counsellor records a list of students detailing who they met on a one-to-one basis and relevant notes regarding the sessions. All one-to-one meetings with students take place in the counselling/guidance office or Comms Room meeting office. </w:t>
      </w:r>
    </w:p>
    <w:p w14:paraId="7874891F" w14:textId="77777777" w:rsidR="00C65A56" w:rsidRDefault="00C65A56" w:rsidP="00E7515B">
      <w:pPr>
        <w:rPr>
          <w:bCs/>
          <w:snapToGrid w:val="0"/>
          <w:color w:val="000000"/>
          <w:lang w:val="en-US"/>
        </w:rPr>
      </w:pPr>
    </w:p>
    <w:p w14:paraId="3C97816D" w14:textId="29BD5483" w:rsidR="00E7515B" w:rsidRDefault="00E7515B" w:rsidP="00E7515B">
      <w:pPr>
        <w:rPr>
          <w:bCs/>
          <w:snapToGrid w:val="0"/>
          <w:color w:val="000000"/>
          <w:lang w:val="en-US"/>
        </w:rPr>
      </w:pPr>
      <w:r w:rsidRPr="00C65A56">
        <w:rPr>
          <w:bCs/>
          <w:snapToGrid w:val="0"/>
          <w:color w:val="000000"/>
          <w:lang w:val="en-US"/>
        </w:rPr>
        <w:t xml:space="preserve">Any concerns (Child Protection) that the counsellor has regarding the safety of a student is discussed with the Principal (DLP) as a matter of urgency. If the principal is unavailable, the issue will be discussed with the Deputy Principal (DDLP). </w:t>
      </w:r>
    </w:p>
    <w:p w14:paraId="5F5FEEF1" w14:textId="77777777" w:rsidR="00C65A56" w:rsidRPr="00C65A56" w:rsidRDefault="00C65A56" w:rsidP="00E7515B">
      <w:pPr>
        <w:rPr>
          <w:bCs/>
          <w:snapToGrid w:val="0"/>
          <w:color w:val="000000"/>
          <w:lang w:val="en-US"/>
        </w:rPr>
      </w:pPr>
    </w:p>
    <w:p w14:paraId="1B4CFB95" w14:textId="7E5E8D15" w:rsidR="00E7515B" w:rsidRDefault="00E7515B" w:rsidP="00E7515B">
      <w:pPr>
        <w:rPr>
          <w:b/>
          <w:snapToGrid w:val="0"/>
          <w:color w:val="000000"/>
          <w:u w:val="single"/>
          <w:lang w:val="en-US"/>
        </w:rPr>
      </w:pPr>
      <w:r w:rsidRPr="00C65A56">
        <w:rPr>
          <w:b/>
          <w:snapToGrid w:val="0"/>
          <w:color w:val="000000"/>
          <w:u w:val="single"/>
          <w:lang w:val="en-US"/>
        </w:rPr>
        <w:t xml:space="preserve">Responsibilities and Duties of the Counsellor: </w:t>
      </w:r>
    </w:p>
    <w:p w14:paraId="0C57504C" w14:textId="77777777" w:rsidR="00C65A56" w:rsidRPr="00C65A56" w:rsidRDefault="00C65A56" w:rsidP="00E7515B">
      <w:pPr>
        <w:rPr>
          <w:b/>
          <w:snapToGrid w:val="0"/>
          <w:color w:val="000000"/>
          <w:u w:val="single"/>
          <w:lang w:val="en-US"/>
        </w:rPr>
      </w:pPr>
    </w:p>
    <w:p w14:paraId="735C3374" w14:textId="3450BB1E" w:rsidR="00E7515B" w:rsidRPr="00C65A56" w:rsidRDefault="00E7515B" w:rsidP="00E7515B">
      <w:pPr>
        <w:rPr>
          <w:bCs/>
          <w:snapToGrid w:val="0"/>
          <w:color w:val="000000"/>
          <w:lang w:val="en-US"/>
        </w:rPr>
      </w:pPr>
      <w:r w:rsidRPr="00C65A56">
        <w:rPr>
          <w:bCs/>
          <w:snapToGrid w:val="0"/>
          <w:color w:val="000000"/>
          <w:lang w:val="en-US"/>
        </w:rPr>
        <w:t xml:space="preserve"> Students may be referred to the external counsellor by the Student Support Team following consultation with the Principal. Students may be referred to the Guidance Counsellor by the Student Support Team, Year Head, SEN team or can self-refer. In the sessions the counsellor should always be mindful </w:t>
      </w:r>
      <w:r w:rsidR="00BC4951" w:rsidRPr="00C65A56">
        <w:rPr>
          <w:bCs/>
          <w:snapToGrid w:val="0"/>
          <w:color w:val="000000"/>
          <w:lang w:val="en-US"/>
        </w:rPr>
        <w:t>of their</w:t>
      </w:r>
      <w:r w:rsidRPr="00C65A56">
        <w:rPr>
          <w:bCs/>
          <w:snapToGrid w:val="0"/>
          <w:color w:val="000000"/>
          <w:lang w:val="en-US"/>
        </w:rPr>
        <w:t xml:space="preserve"> role and explain the boundaries within the counsellor/student relationship their qualifications, areas of expertise and relevant limitations. He/She should also explain the nature of counselling activities involved </w:t>
      </w:r>
      <w:r w:rsidRPr="00C65A56">
        <w:rPr>
          <w:bCs/>
          <w:snapToGrid w:val="0"/>
          <w:color w:val="000000"/>
          <w:lang w:val="en-US"/>
        </w:rPr>
        <w:lastRenderedPageBreak/>
        <w:t xml:space="preserve">and the reasons for undertaking them and the benefits to the </w:t>
      </w:r>
      <w:r w:rsidR="00BC4951" w:rsidRPr="00C65A56">
        <w:rPr>
          <w:bCs/>
          <w:snapToGrid w:val="0"/>
          <w:color w:val="000000"/>
          <w:lang w:val="en-US"/>
        </w:rPr>
        <w:t>student in</w:t>
      </w:r>
      <w:r w:rsidRPr="00C65A56">
        <w:rPr>
          <w:bCs/>
          <w:snapToGrid w:val="0"/>
          <w:color w:val="000000"/>
          <w:lang w:val="en-US"/>
        </w:rPr>
        <w:t xml:space="preserve"> the case of counselling any referral options which may benefit the student where any presenting issue is beyond the external counsellors current level of competency </w:t>
      </w:r>
    </w:p>
    <w:p w14:paraId="332EEF6A" w14:textId="741264F3" w:rsidR="00E7515B" w:rsidRDefault="00E7515B" w:rsidP="00E7515B">
      <w:pPr>
        <w:rPr>
          <w:bCs/>
          <w:snapToGrid w:val="0"/>
          <w:color w:val="000000"/>
          <w:lang w:val="en-US"/>
        </w:rPr>
      </w:pPr>
      <w:r w:rsidRPr="00C65A56">
        <w:rPr>
          <w:bCs/>
          <w:snapToGrid w:val="0"/>
          <w:color w:val="000000"/>
          <w:lang w:val="en-US"/>
        </w:rPr>
        <w:t xml:space="preserve">• confidentiality in the counselling process and the limits of confidentiality • the students right to engage in and withdraw from involvement in the process at any stage • seeking consent in advance from parents/guardians for the student to attend counselling session(s). Written permission will be obtained from at least one parent/guardian prior to the commencement of therapy. • keeping all written records in a locked filing cabinet in the guidance counselling/Principal’s office. When making or keeping records, care should be taken to distinguish between fact, observation and opinion and, to include only such information as is required for the purpose of professional involvement with the student. Where a decision is made, the basis for the decision is noted. Statutory and data protection responsibility with regard to records applies to all media, whether written hardcopy, electronic or digitally recorded. </w:t>
      </w:r>
    </w:p>
    <w:p w14:paraId="00B7A888" w14:textId="77777777" w:rsidR="00CB60BD" w:rsidRPr="00C65A56" w:rsidRDefault="00CB60BD" w:rsidP="00E7515B">
      <w:pPr>
        <w:rPr>
          <w:bCs/>
          <w:snapToGrid w:val="0"/>
          <w:color w:val="000000"/>
          <w:lang w:val="en-US"/>
        </w:rPr>
      </w:pPr>
    </w:p>
    <w:p w14:paraId="2AA37C2B" w14:textId="25E176E3" w:rsidR="00E7515B" w:rsidRDefault="00E7515B" w:rsidP="00E7515B">
      <w:pPr>
        <w:rPr>
          <w:b/>
          <w:snapToGrid w:val="0"/>
          <w:color w:val="000000"/>
          <w:u w:val="single"/>
          <w:lang w:val="en-US"/>
        </w:rPr>
      </w:pPr>
      <w:r w:rsidRPr="00292B15">
        <w:rPr>
          <w:b/>
          <w:snapToGrid w:val="0"/>
          <w:color w:val="000000"/>
          <w:u w:val="single"/>
          <w:lang w:val="en-US"/>
        </w:rPr>
        <w:t>One-to-One Meeting/Teaching with Students</w:t>
      </w:r>
      <w:r w:rsidR="00292B15">
        <w:rPr>
          <w:b/>
          <w:snapToGrid w:val="0"/>
          <w:color w:val="000000"/>
          <w:u w:val="single"/>
          <w:lang w:val="en-US"/>
        </w:rPr>
        <w:t>:</w:t>
      </w:r>
    </w:p>
    <w:p w14:paraId="559AA3BA" w14:textId="77777777" w:rsidR="00292B15" w:rsidRPr="00292B15" w:rsidRDefault="00292B15" w:rsidP="00E7515B">
      <w:pPr>
        <w:rPr>
          <w:b/>
          <w:snapToGrid w:val="0"/>
          <w:color w:val="000000"/>
          <w:u w:val="single"/>
          <w:lang w:val="en-US"/>
        </w:rPr>
      </w:pPr>
    </w:p>
    <w:p w14:paraId="5CDF3C1C" w14:textId="07D3169F" w:rsidR="00E7515B" w:rsidRPr="00292B15" w:rsidRDefault="00E7515B" w:rsidP="00E7515B">
      <w:pPr>
        <w:rPr>
          <w:b/>
          <w:snapToGrid w:val="0"/>
          <w:color w:val="000000"/>
          <w:u w:val="single"/>
          <w:lang w:val="en-US"/>
        </w:rPr>
      </w:pPr>
      <w:r w:rsidRPr="00292B15">
        <w:rPr>
          <w:b/>
          <w:snapToGrid w:val="0"/>
          <w:color w:val="000000"/>
          <w:u w:val="single"/>
          <w:lang w:val="en-US"/>
        </w:rPr>
        <w:t xml:space="preserve">General </w:t>
      </w:r>
    </w:p>
    <w:p w14:paraId="03524FFC" w14:textId="77777777" w:rsidR="00292B15" w:rsidRPr="00292B15" w:rsidRDefault="00292B15" w:rsidP="00E7515B">
      <w:pPr>
        <w:rPr>
          <w:b/>
          <w:snapToGrid w:val="0"/>
          <w:color w:val="000000"/>
          <w:lang w:val="en-US"/>
        </w:rPr>
      </w:pPr>
    </w:p>
    <w:p w14:paraId="7B11EABD" w14:textId="2960C8A4" w:rsidR="00E7515B" w:rsidRDefault="00E7515B" w:rsidP="00E7515B">
      <w:pPr>
        <w:rPr>
          <w:bCs/>
          <w:snapToGrid w:val="0"/>
          <w:color w:val="000000"/>
          <w:lang w:val="en-US"/>
        </w:rPr>
      </w:pPr>
      <w:r w:rsidRPr="00C65A56">
        <w:rPr>
          <w:bCs/>
          <w:snapToGrid w:val="0"/>
          <w:color w:val="000000"/>
          <w:lang w:val="en-US"/>
        </w:rPr>
        <w:t xml:space="preserve">All one-to-one meetings with students take place in an open environment with a glass </w:t>
      </w:r>
      <w:r w:rsidR="0050494E">
        <w:rPr>
          <w:bCs/>
          <w:snapToGrid w:val="0"/>
          <w:color w:val="000000"/>
          <w:lang w:val="en-US"/>
        </w:rPr>
        <w:t xml:space="preserve">paneled/ open </w:t>
      </w:r>
      <w:r w:rsidRPr="00C65A56">
        <w:rPr>
          <w:bCs/>
          <w:snapToGrid w:val="0"/>
          <w:color w:val="000000"/>
          <w:lang w:val="en-US"/>
        </w:rPr>
        <w:t>door.  One to one teaching may occur between students and Special Education teachers. Work carried out by Special Needs Assistants will also be completed in an open environment under the direction of a class teacher. From time to time outside professionals may be required to meet with/assess students in a one to one setting. This includes visits from external agencies for example, NCSE, NEPS, SEC, TUSLA etc.  All personnel working with children on a one to one basis must be Garda Vetted.</w:t>
      </w:r>
    </w:p>
    <w:p w14:paraId="3988281D" w14:textId="77777777" w:rsidR="0050494E" w:rsidRPr="00C65A56" w:rsidRDefault="0050494E" w:rsidP="00E7515B">
      <w:pPr>
        <w:rPr>
          <w:bCs/>
          <w:snapToGrid w:val="0"/>
          <w:color w:val="000000"/>
          <w:lang w:val="en-US"/>
        </w:rPr>
      </w:pPr>
    </w:p>
    <w:p w14:paraId="79675C6D" w14:textId="5E8BBD77" w:rsidR="00E7515B" w:rsidRPr="0050494E" w:rsidRDefault="00E7515B" w:rsidP="00E7515B">
      <w:pPr>
        <w:rPr>
          <w:b/>
          <w:snapToGrid w:val="0"/>
          <w:color w:val="000000"/>
          <w:u w:val="single"/>
          <w:lang w:val="en-US"/>
        </w:rPr>
      </w:pPr>
      <w:r w:rsidRPr="00C65A56">
        <w:rPr>
          <w:bCs/>
          <w:snapToGrid w:val="0"/>
          <w:color w:val="000000"/>
          <w:lang w:val="en-US"/>
        </w:rPr>
        <w:t xml:space="preserve"> </w:t>
      </w:r>
      <w:r w:rsidRPr="0050494E">
        <w:rPr>
          <w:b/>
          <w:snapToGrid w:val="0"/>
          <w:color w:val="000000"/>
          <w:u w:val="single"/>
          <w:lang w:val="en-US"/>
        </w:rPr>
        <w:t>Responsibilities and Duties of Teachers</w:t>
      </w:r>
      <w:r w:rsidR="0050494E">
        <w:rPr>
          <w:b/>
          <w:snapToGrid w:val="0"/>
          <w:color w:val="000000"/>
          <w:u w:val="single"/>
          <w:lang w:val="en-US"/>
        </w:rPr>
        <w:t>:</w:t>
      </w:r>
    </w:p>
    <w:p w14:paraId="2EADD9DD" w14:textId="77777777" w:rsidR="0050494E" w:rsidRPr="00C65A56" w:rsidRDefault="0050494E" w:rsidP="00E7515B">
      <w:pPr>
        <w:rPr>
          <w:bCs/>
          <w:snapToGrid w:val="0"/>
          <w:color w:val="000000"/>
          <w:lang w:val="en-US"/>
        </w:rPr>
      </w:pPr>
    </w:p>
    <w:p w14:paraId="0D51C6E6" w14:textId="77777777" w:rsidR="00E7515B" w:rsidRPr="00C65A56" w:rsidRDefault="00E7515B" w:rsidP="00E7515B">
      <w:pPr>
        <w:rPr>
          <w:bCs/>
          <w:snapToGrid w:val="0"/>
          <w:color w:val="000000"/>
          <w:lang w:val="en-US"/>
        </w:rPr>
      </w:pPr>
      <w:r w:rsidRPr="00C65A56">
        <w:rPr>
          <w:bCs/>
          <w:snapToGrid w:val="0"/>
          <w:color w:val="000000"/>
          <w:lang w:val="en-US"/>
        </w:rPr>
        <w:t xml:space="preserve"> Teachers have a responsibility to inform students of the extent and limitations of confidentiality with respect to the schools’ policies and safe guarding of the wellbeing of the student. Students should be informed of the limits of confidentiality where information about them may need to be shared.  If issues of safety override those of confidentiality and a concern around child protection arises the concern will be discussed with the DLP as a matter of urgency. DLP/Principal will inform parents of any child protection related issues in line with Child Protection procedures.  </w:t>
      </w:r>
    </w:p>
    <w:p w14:paraId="15481E6E" w14:textId="77777777" w:rsidR="00E7515B" w:rsidRPr="00C65A56" w:rsidRDefault="00E7515B" w:rsidP="00E7515B">
      <w:pPr>
        <w:rPr>
          <w:bCs/>
          <w:snapToGrid w:val="0"/>
          <w:color w:val="000000"/>
          <w:lang w:val="en-US"/>
        </w:rPr>
      </w:pPr>
      <w:r w:rsidRPr="00C65A56">
        <w:rPr>
          <w:bCs/>
          <w:snapToGrid w:val="0"/>
          <w:color w:val="000000"/>
          <w:lang w:val="en-US"/>
        </w:rPr>
        <w:t xml:space="preserve"> </w:t>
      </w:r>
    </w:p>
    <w:p w14:paraId="0AC41045" w14:textId="6675B0FF" w:rsidR="00E7515B" w:rsidRDefault="00E7515B" w:rsidP="00E7515B">
      <w:pPr>
        <w:rPr>
          <w:b/>
          <w:snapToGrid w:val="0"/>
          <w:color w:val="000000"/>
          <w:u w:val="single"/>
          <w:lang w:val="en-US"/>
        </w:rPr>
      </w:pPr>
      <w:r w:rsidRPr="0050494E">
        <w:rPr>
          <w:b/>
          <w:snapToGrid w:val="0"/>
          <w:color w:val="000000"/>
          <w:u w:val="single"/>
          <w:lang w:val="en-US"/>
        </w:rPr>
        <w:t>Record Keeping and Access to Records</w:t>
      </w:r>
      <w:r w:rsidR="0050494E">
        <w:rPr>
          <w:b/>
          <w:snapToGrid w:val="0"/>
          <w:color w:val="000000"/>
          <w:u w:val="single"/>
          <w:lang w:val="en-US"/>
        </w:rPr>
        <w:t>:</w:t>
      </w:r>
    </w:p>
    <w:p w14:paraId="4C141DD9" w14:textId="77777777" w:rsidR="0050494E" w:rsidRPr="0050494E" w:rsidRDefault="0050494E" w:rsidP="00E7515B">
      <w:pPr>
        <w:rPr>
          <w:b/>
          <w:snapToGrid w:val="0"/>
          <w:color w:val="000000"/>
          <w:u w:val="single"/>
          <w:lang w:val="en-US"/>
        </w:rPr>
      </w:pPr>
    </w:p>
    <w:p w14:paraId="1EB0E449" w14:textId="3AC9E74C" w:rsidR="00E7515B" w:rsidRDefault="00E7515B" w:rsidP="00E7515B">
      <w:pPr>
        <w:rPr>
          <w:bCs/>
          <w:snapToGrid w:val="0"/>
          <w:color w:val="000000"/>
          <w:lang w:val="en-US"/>
        </w:rPr>
      </w:pPr>
      <w:r w:rsidRPr="00C65A56">
        <w:rPr>
          <w:bCs/>
          <w:snapToGrid w:val="0"/>
          <w:color w:val="000000"/>
          <w:lang w:val="en-US"/>
        </w:rPr>
        <w:t xml:space="preserve">All written records are kept in a locked filing cabinet in the teacher's office and/or recorded on School IT based reporting system. When making or keeping records, care should be taken to distinguish between fact, observation and opinion and, to include only such information as is required for the purpose of professional involvement with the student. Where a decision is made, the basis for the decision is noted. Statutory and data protection responsibility with regard to records applies to all media, whether written, hardcopy, electronic or digitally recorded.  For SEN students all student support files recorded and stored in accordance with the SEN Policy.  </w:t>
      </w:r>
    </w:p>
    <w:p w14:paraId="6EBB23CD" w14:textId="77777777" w:rsidR="0050494E" w:rsidRPr="00C65A56" w:rsidRDefault="0050494E" w:rsidP="00E7515B">
      <w:pPr>
        <w:rPr>
          <w:bCs/>
          <w:snapToGrid w:val="0"/>
          <w:color w:val="000000"/>
          <w:lang w:val="en-US"/>
        </w:rPr>
      </w:pPr>
    </w:p>
    <w:p w14:paraId="7AEE7C04" w14:textId="3C4AFB19" w:rsidR="00935AC1" w:rsidRPr="00C65A56" w:rsidRDefault="00BC4951">
      <w:pPr>
        <w:rPr>
          <w:bCs/>
          <w:snapToGrid w:val="0"/>
          <w:color w:val="000000"/>
          <w:lang w:val="en-US"/>
        </w:rPr>
      </w:pPr>
      <w:r>
        <w:rPr>
          <w:bCs/>
          <w:snapToGrid w:val="0"/>
          <w:color w:val="000000"/>
          <w:lang w:val="en-US"/>
        </w:rPr>
        <w:t>This policy will be reviewed as per the Policy Review document or when deemed necessary by the Board of Management.</w:t>
      </w:r>
    </w:p>
    <w:p w14:paraId="7AEE7C05" w14:textId="77777777" w:rsidR="00935AC1" w:rsidRPr="00C65A56" w:rsidRDefault="00935AC1">
      <w:pPr>
        <w:rPr>
          <w:bCs/>
          <w:snapToGrid w:val="0"/>
          <w:color w:val="000000"/>
          <w:lang w:val="en-US"/>
        </w:rPr>
      </w:pPr>
    </w:p>
    <w:p w14:paraId="7AEE7C06" w14:textId="77777777" w:rsidR="002F7B4C" w:rsidRPr="00C65A56" w:rsidRDefault="002F7B4C">
      <w:pPr>
        <w:rPr>
          <w:bCs/>
          <w:snapToGrid w:val="0"/>
          <w:color w:val="000000"/>
          <w:lang w:val="en-US"/>
        </w:rPr>
      </w:pPr>
    </w:p>
    <w:p w14:paraId="7AEE7C07" w14:textId="77777777" w:rsidR="002F7B4C" w:rsidRPr="00C65A56" w:rsidRDefault="002F7B4C" w:rsidP="002F7B4C">
      <w:pPr>
        <w:pStyle w:val="Default"/>
        <w:rPr>
          <w:rFonts w:ascii="Times New Roman" w:hAnsi="Times New Roman" w:cs="Times New Roman"/>
          <w:bCs/>
        </w:rPr>
      </w:pPr>
    </w:p>
    <w:p w14:paraId="7AEE7C08" w14:textId="77777777" w:rsidR="00646421" w:rsidRPr="00C65A56" w:rsidRDefault="00646421" w:rsidP="002F7B4C">
      <w:pPr>
        <w:jc w:val="center"/>
        <w:rPr>
          <w:bCs/>
        </w:rPr>
      </w:pPr>
    </w:p>
    <w:p w14:paraId="7AEE7C0C" w14:textId="77777777" w:rsidR="00B33759" w:rsidRPr="00C65A56" w:rsidRDefault="00B33759" w:rsidP="00B33759">
      <w:pPr>
        <w:jc w:val="center"/>
        <w:rPr>
          <w:bCs/>
        </w:rPr>
      </w:pPr>
    </w:p>
    <w:sectPr w:rsidR="00B33759" w:rsidRPr="00C65A56" w:rsidSect="000F6BE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D28"/>
    <w:multiLevelType w:val="hybridMultilevel"/>
    <w:tmpl w:val="51D85CDC"/>
    <w:lvl w:ilvl="0" w:tplc="352A0312">
      <w:start w:val="1"/>
      <w:numFmt w:val="bullet"/>
      <w:lvlText w:val=""/>
      <w:lvlJc w:val="left"/>
      <w:pPr>
        <w:tabs>
          <w:tab w:val="num" w:pos="720"/>
        </w:tabs>
        <w:ind w:left="720" w:hanging="360"/>
      </w:pPr>
      <w:rPr>
        <w:rFonts w:ascii="Symbol" w:hAnsi="Symbol" w:hint="default"/>
      </w:rPr>
    </w:lvl>
    <w:lvl w:ilvl="1" w:tplc="1C6CE196" w:tentative="1">
      <w:start w:val="1"/>
      <w:numFmt w:val="bullet"/>
      <w:lvlText w:val="o"/>
      <w:lvlJc w:val="left"/>
      <w:pPr>
        <w:tabs>
          <w:tab w:val="num" w:pos="1440"/>
        </w:tabs>
        <w:ind w:left="1440" w:hanging="360"/>
      </w:pPr>
      <w:rPr>
        <w:rFonts w:ascii="Courier New" w:hAnsi="Courier New" w:hint="default"/>
      </w:rPr>
    </w:lvl>
    <w:lvl w:ilvl="2" w:tplc="D65E60B4" w:tentative="1">
      <w:start w:val="1"/>
      <w:numFmt w:val="bullet"/>
      <w:lvlText w:val=""/>
      <w:lvlJc w:val="left"/>
      <w:pPr>
        <w:tabs>
          <w:tab w:val="num" w:pos="2160"/>
        </w:tabs>
        <w:ind w:left="2160" w:hanging="360"/>
      </w:pPr>
      <w:rPr>
        <w:rFonts w:ascii="Wingdings" w:hAnsi="Wingdings" w:hint="default"/>
      </w:rPr>
    </w:lvl>
    <w:lvl w:ilvl="3" w:tplc="3858D760" w:tentative="1">
      <w:start w:val="1"/>
      <w:numFmt w:val="bullet"/>
      <w:lvlText w:val=""/>
      <w:lvlJc w:val="left"/>
      <w:pPr>
        <w:tabs>
          <w:tab w:val="num" w:pos="2880"/>
        </w:tabs>
        <w:ind w:left="2880" w:hanging="360"/>
      </w:pPr>
      <w:rPr>
        <w:rFonts w:ascii="Symbol" w:hAnsi="Symbol" w:hint="default"/>
      </w:rPr>
    </w:lvl>
    <w:lvl w:ilvl="4" w:tplc="3F24ACDA" w:tentative="1">
      <w:start w:val="1"/>
      <w:numFmt w:val="bullet"/>
      <w:lvlText w:val="o"/>
      <w:lvlJc w:val="left"/>
      <w:pPr>
        <w:tabs>
          <w:tab w:val="num" w:pos="3600"/>
        </w:tabs>
        <w:ind w:left="3600" w:hanging="360"/>
      </w:pPr>
      <w:rPr>
        <w:rFonts w:ascii="Courier New" w:hAnsi="Courier New" w:hint="default"/>
      </w:rPr>
    </w:lvl>
    <w:lvl w:ilvl="5" w:tplc="B62E73AE" w:tentative="1">
      <w:start w:val="1"/>
      <w:numFmt w:val="bullet"/>
      <w:lvlText w:val=""/>
      <w:lvlJc w:val="left"/>
      <w:pPr>
        <w:tabs>
          <w:tab w:val="num" w:pos="4320"/>
        </w:tabs>
        <w:ind w:left="4320" w:hanging="360"/>
      </w:pPr>
      <w:rPr>
        <w:rFonts w:ascii="Wingdings" w:hAnsi="Wingdings" w:hint="default"/>
      </w:rPr>
    </w:lvl>
    <w:lvl w:ilvl="6" w:tplc="37D0777A" w:tentative="1">
      <w:start w:val="1"/>
      <w:numFmt w:val="bullet"/>
      <w:lvlText w:val=""/>
      <w:lvlJc w:val="left"/>
      <w:pPr>
        <w:tabs>
          <w:tab w:val="num" w:pos="5040"/>
        </w:tabs>
        <w:ind w:left="5040" w:hanging="360"/>
      </w:pPr>
      <w:rPr>
        <w:rFonts w:ascii="Symbol" w:hAnsi="Symbol" w:hint="default"/>
      </w:rPr>
    </w:lvl>
    <w:lvl w:ilvl="7" w:tplc="0650AF32" w:tentative="1">
      <w:start w:val="1"/>
      <w:numFmt w:val="bullet"/>
      <w:lvlText w:val="o"/>
      <w:lvlJc w:val="left"/>
      <w:pPr>
        <w:tabs>
          <w:tab w:val="num" w:pos="5760"/>
        </w:tabs>
        <w:ind w:left="5760" w:hanging="360"/>
      </w:pPr>
      <w:rPr>
        <w:rFonts w:ascii="Courier New" w:hAnsi="Courier New" w:hint="default"/>
      </w:rPr>
    </w:lvl>
    <w:lvl w:ilvl="8" w:tplc="92F2DD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19E3"/>
    <w:multiLevelType w:val="multilevel"/>
    <w:tmpl w:val="7D0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D5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4C1FBF"/>
    <w:multiLevelType w:val="hybridMultilevel"/>
    <w:tmpl w:val="12B02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846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153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7E012D"/>
    <w:multiLevelType w:val="multilevel"/>
    <w:tmpl w:val="B08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E6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B85228"/>
    <w:multiLevelType w:val="hybridMultilevel"/>
    <w:tmpl w:val="1DA46CE6"/>
    <w:lvl w:ilvl="0" w:tplc="A6C2EC0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B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42BAD"/>
    <w:multiLevelType w:val="hybridMultilevel"/>
    <w:tmpl w:val="A3C2B55A"/>
    <w:lvl w:ilvl="0" w:tplc="1DB85F34">
      <w:start w:val="1"/>
      <w:numFmt w:val="bullet"/>
      <w:lvlText w:val=""/>
      <w:lvlJc w:val="left"/>
      <w:pPr>
        <w:tabs>
          <w:tab w:val="num" w:pos="780"/>
        </w:tabs>
        <w:ind w:left="780" w:hanging="360"/>
      </w:pPr>
      <w:rPr>
        <w:rFonts w:ascii="Symbol" w:hAnsi="Symbol" w:hint="default"/>
      </w:rPr>
    </w:lvl>
    <w:lvl w:ilvl="1" w:tplc="A6CA1B42" w:tentative="1">
      <w:start w:val="1"/>
      <w:numFmt w:val="bullet"/>
      <w:lvlText w:val="o"/>
      <w:lvlJc w:val="left"/>
      <w:pPr>
        <w:tabs>
          <w:tab w:val="num" w:pos="1500"/>
        </w:tabs>
        <w:ind w:left="1500" w:hanging="360"/>
      </w:pPr>
      <w:rPr>
        <w:rFonts w:ascii="Courier New" w:hAnsi="Courier New" w:hint="default"/>
      </w:rPr>
    </w:lvl>
    <w:lvl w:ilvl="2" w:tplc="3ACAC972" w:tentative="1">
      <w:start w:val="1"/>
      <w:numFmt w:val="bullet"/>
      <w:lvlText w:val=""/>
      <w:lvlJc w:val="left"/>
      <w:pPr>
        <w:tabs>
          <w:tab w:val="num" w:pos="2220"/>
        </w:tabs>
        <w:ind w:left="2220" w:hanging="360"/>
      </w:pPr>
      <w:rPr>
        <w:rFonts w:ascii="Wingdings" w:hAnsi="Wingdings" w:hint="default"/>
      </w:rPr>
    </w:lvl>
    <w:lvl w:ilvl="3" w:tplc="D33AFA34" w:tentative="1">
      <w:start w:val="1"/>
      <w:numFmt w:val="bullet"/>
      <w:lvlText w:val=""/>
      <w:lvlJc w:val="left"/>
      <w:pPr>
        <w:tabs>
          <w:tab w:val="num" w:pos="2940"/>
        </w:tabs>
        <w:ind w:left="2940" w:hanging="360"/>
      </w:pPr>
      <w:rPr>
        <w:rFonts w:ascii="Symbol" w:hAnsi="Symbol" w:hint="default"/>
      </w:rPr>
    </w:lvl>
    <w:lvl w:ilvl="4" w:tplc="670CA49E" w:tentative="1">
      <w:start w:val="1"/>
      <w:numFmt w:val="bullet"/>
      <w:lvlText w:val="o"/>
      <w:lvlJc w:val="left"/>
      <w:pPr>
        <w:tabs>
          <w:tab w:val="num" w:pos="3660"/>
        </w:tabs>
        <w:ind w:left="3660" w:hanging="360"/>
      </w:pPr>
      <w:rPr>
        <w:rFonts w:ascii="Courier New" w:hAnsi="Courier New" w:hint="default"/>
      </w:rPr>
    </w:lvl>
    <w:lvl w:ilvl="5" w:tplc="D084E12A" w:tentative="1">
      <w:start w:val="1"/>
      <w:numFmt w:val="bullet"/>
      <w:lvlText w:val=""/>
      <w:lvlJc w:val="left"/>
      <w:pPr>
        <w:tabs>
          <w:tab w:val="num" w:pos="4380"/>
        </w:tabs>
        <w:ind w:left="4380" w:hanging="360"/>
      </w:pPr>
      <w:rPr>
        <w:rFonts w:ascii="Wingdings" w:hAnsi="Wingdings" w:hint="default"/>
      </w:rPr>
    </w:lvl>
    <w:lvl w:ilvl="6" w:tplc="A80AFEBA" w:tentative="1">
      <w:start w:val="1"/>
      <w:numFmt w:val="bullet"/>
      <w:lvlText w:val=""/>
      <w:lvlJc w:val="left"/>
      <w:pPr>
        <w:tabs>
          <w:tab w:val="num" w:pos="5100"/>
        </w:tabs>
        <w:ind w:left="5100" w:hanging="360"/>
      </w:pPr>
      <w:rPr>
        <w:rFonts w:ascii="Symbol" w:hAnsi="Symbol" w:hint="default"/>
      </w:rPr>
    </w:lvl>
    <w:lvl w:ilvl="7" w:tplc="F41C62DA" w:tentative="1">
      <w:start w:val="1"/>
      <w:numFmt w:val="bullet"/>
      <w:lvlText w:val="o"/>
      <w:lvlJc w:val="left"/>
      <w:pPr>
        <w:tabs>
          <w:tab w:val="num" w:pos="5820"/>
        </w:tabs>
        <w:ind w:left="5820" w:hanging="360"/>
      </w:pPr>
      <w:rPr>
        <w:rFonts w:ascii="Courier New" w:hAnsi="Courier New" w:hint="default"/>
      </w:rPr>
    </w:lvl>
    <w:lvl w:ilvl="8" w:tplc="D510525A"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660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675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4367FE"/>
    <w:multiLevelType w:val="hybridMultilevel"/>
    <w:tmpl w:val="88A6DB3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FC2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DE02CA"/>
    <w:multiLevelType w:val="hybridMultilevel"/>
    <w:tmpl w:val="5B16D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A406C9"/>
    <w:multiLevelType w:val="singleLevel"/>
    <w:tmpl w:val="02B29E86"/>
    <w:lvl w:ilvl="0">
      <w:start w:val="1"/>
      <w:numFmt w:val="lowerLetter"/>
      <w:lvlText w:val="%1."/>
      <w:lvlJc w:val="left"/>
      <w:pPr>
        <w:tabs>
          <w:tab w:val="num" w:pos="360"/>
        </w:tabs>
        <w:ind w:left="360" w:hanging="360"/>
      </w:pPr>
      <w:rPr>
        <w:rFonts w:hint="default"/>
      </w:rPr>
    </w:lvl>
  </w:abstractNum>
  <w:abstractNum w:abstractNumId="17" w15:restartNumberingAfterBreak="0">
    <w:nsid w:val="504C2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73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0A2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B8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E75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305D51"/>
    <w:multiLevelType w:val="multilevel"/>
    <w:tmpl w:val="4FF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746FC8"/>
    <w:multiLevelType w:val="hybridMultilevel"/>
    <w:tmpl w:val="261A04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910F4E"/>
    <w:multiLevelType w:val="hybridMultilevel"/>
    <w:tmpl w:val="95FC5AA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D62BB7"/>
    <w:multiLevelType w:val="singleLevel"/>
    <w:tmpl w:val="A502C12C"/>
    <w:lvl w:ilvl="0">
      <w:start w:val="1"/>
      <w:numFmt w:val="lowerLetter"/>
      <w:lvlText w:val="%1."/>
      <w:lvlJc w:val="left"/>
      <w:pPr>
        <w:tabs>
          <w:tab w:val="num" w:pos="360"/>
        </w:tabs>
        <w:ind w:left="360" w:hanging="360"/>
      </w:pPr>
      <w:rPr>
        <w:rFonts w:hint="default"/>
      </w:rPr>
    </w:lvl>
  </w:abstractNum>
  <w:abstractNum w:abstractNumId="26" w15:restartNumberingAfterBreak="0">
    <w:nsid w:val="711F0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581781"/>
    <w:multiLevelType w:val="hybridMultilevel"/>
    <w:tmpl w:val="A6C20A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5"/>
  </w:num>
  <w:num w:numId="4">
    <w:abstractNumId w:val="5"/>
  </w:num>
  <w:num w:numId="5">
    <w:abstractNumId w:val="11"/>
  </w:num>
  <w:num w:numId="6">
    <w:abstractNumId w:val="4"/>
  </w:num>
  <w:num w:numId="7">
    <w:abstractNumId w:val="19"/>
  </w:num>
  <w:num w:numId="8">
    <w:abstractNumId w:val="21"/>
  </w:num>
  <w:num w:numId="9">
    <w:abstractNumId w:val="12"/>
  </w:num>
  <w:num w:numId="10">
    <w:abstractNumId w:val="7"/>
  </w:num>
  <w:num w:numId="11">
    <w:abstractNumId w:val="14"/>
  </w:num>
  <w:num w:numId="12">
    <w:abstractNumId w:val="9"/>
  </w:num>
  <w:num w:numId="13">
    <w:abstractNumId w:val="18"/>
  </w:num>
  <w:num w:numId="14">
    <w:abstractNumId w:val="17"/>
  </w:num>
  <w:num w:numId="15">
    <w:abstractNumId w:val="20"/>
  </w:num>
  <w:num w:numId="16">
    <w:abstractNumId w:val="26"/>
  </w:num>
  <w:num w:numId="17">
    <w:abstractNumId w:val="16"/>
  </w:num>
  <w:num w:numId="18">
    <w:abstractNumId w:val="2"/>
  </w:num>
  <w:num w:numId="19">
    <w:abstractNumId w:val="27"/>
  </w:num>
  <w:num w:numId="20">
    <w:abstractNumId w:val="13"/>
  </w:num>
  <w:num w:numId="21">
    <w:abstractNumId w:val="15"/>
  </w:num>
  <w:num w:numId="22">
    <w:abstractNumId w:val="3"/>
  </w:num>
  <w:num w:numId="23">
    <w:abstractNumId w:val="23"/>
  </w:num>
  <w:num w:numId="24">
    <w:abstractNumId w:val="24"/>
  </w:num>
  <w:num w:numId="25">
    <w:abstractNumId w:val="8"/>
  </w:num>
  <w:num w:numId="26">
    <w:abstractNumId w:val="1"/>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51"/>
    <w:rsid w:val="00002F51"/>
    <w:rsid w:val="00013152"/>
    <w:rsid w:val="00073387"/>
    <w:rsid w:val="000867AD"/>
    <w:rsid w:val="000C2F5B"/>
    <w:rsid w:val="000F2B1D"/>
    <w:rsid w:val="000F6BEC"/>
    <w:rsid w:val="001458CD"/>
    <w:rsid w:val="0016514A"/>
    <w:rsid w:val="001A6CCB"/>
    <w:rsid w:val="0021319B"/>
    <w:rsid w:val="00292B15"/>
    <w:rsid w:val="002F7B4C"/>
    <w:rsid w:val="003234CF"/>
    <w:rsid w:val="004224C8"/>
    <w:rsid w:val="00461A5B"/>
    <w:rsid w:val="00475021"/>
    <w:rsid w:val="004D5A51"/>
    <w:rsid w:val="0050494E"/>
    <w:rsid w:val="005D500D"/>
    <w:rsid w:val="00646421"/>
    <w:rsid w:val="006835AB"/>
    <w:rsid w:val="006C5AD9"/>
    <w:rsid w:val="008C01BB"/>
    <w:rsid w:val="008C7AC3"/>
    <w:rsid w:val="008E04D1"/>
    <w:rsid w:val="00926BD8"/>
    <w:rsid w:val="00935AC1"/>
    <w:rsid w:val="00A04604"/>
    <w:rsid w:val="00A41F6E"/>
    <w:rsid w:val="00AC243F"/>
    <w:rsid w:val="00B33759"/>
    <w:rsid w:val="00BC4951"/>
    <w:rsid w:val="00C54ED5"/>
    <w:rsid w:val="00C65A56"/>
    <w:rsid w:val="00CB60BD"/>
    <w:rsid w:val="00D566C3"/>
    <w:rsid w:val="00D939CE"/>
    <w:rsid w:val="00DC241E"/>
    <w:rsid w:val="00DD27EF"/>
    <w:rsid w:val="00DE220C"/>
    <w:rsid w:val="00E16BD5"/>
    <w:rsid w:val="00E72832"/>
    <w:rsid w:val="00E7515B"/>
    <w:rsid w:val="00E8522C"/>
    <w:rsid w:val="00F22822"/>
    <w:rsid w:val="00F90C1E"/>
    <w:rsid w:val="00FA116A"/>
    <w:rsid w:val="00FE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E7BA0"/>
  <w15:docId w15:val="{BDA8515B-BE81-41AF-812A-FD3B8A1A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u w:val="single"/>
    </w:rPr>
  </w:style>
  <w:style w:type="paragraph" w:styleId="BodyText">
    <w:name w:val="Body Text"/>
    <w:basedOn w:val="Normal"/>
    <w:pPr>
      <w:jc w:val="both"/>
    </w:pPr>
  </w:style>
  <w:style w:type="paragraph" w:styleId="BodyTextIndent">
    <w:name w:val="Body Text Indent"/>
    <w:basedOn w:val="Normal"/>
    <w:pPr>
      <w:ind w:left="2160"/>
      <w:jc w:val="both"/>
    </w:pPr>
  </w:style>
  <w:style w:type="paragraph" w:styleId="BodyText2">
    <w:name w:val="Body Text 2"/>
    <w:basedOn w:val="Normal"/>
    <w:rPr>
      <w:rFonts w:ascii="Garamond" w:hAnsi="Garamond"/>
      <w:snapToGrid w:val="0"/>
      <w:color w:val="0000FF"/>
      <w:lang w:val="en-US"/>
    </w:rPr>
  </w:style>
  <w:style w:type="character" w:styleId="CommentReference">
    <w:name w:val="annotation reference"/>
    <w:uiPriority w:val="99"/>
    <w:semiHidden/>
    <w:unhideWhenUsed/>
    <w:rsid w:val="005D500D"/>
    <w:rPr>
      <w:sz w:val="16"/>
      <w:szCs w:val="16"/>
    </w:rPr>
  </w:style>
  <w:style w:type="paragraph" w:styleId="CommentText">
    <w:name w:val="annotation text"/>
    <w:basedOn w:val="Normal"/>
    <w:link w:val="CommentTextChar"/>
    <w:uiPriority w:val="99"/>
    <w:semiHidden/>
    <w:unhideWhenUsed/>
    <w:rsid w:val="005D500D"/>
    <w:rPr>
      <w:sz w:val="20"/>
      <w:szCs w:val="20"/>
    </w:rPr>
  </w:style>
  <w:style w:type="character" w:customStyle="1" w:styleId="CommentTextChar">
    <w:name w:val="Comment Text Char"/>
    <w:link w:val="CommentText"/>
    <w:uiPriority w:val="99"/>
    <w:semiHidden/>
    <w:rsid w:val="005D500D"/>
    <w:rPr>
      <w:lang w:eastAsia="en-US"/>
    </w:rPr>
  </w:style>
  <w:style w:type="paragraph" w:styleId="CommentSubject">
    <w:name w:val="annotation subject"/>
    <w:basedOn w:val="CommentText"/>
    <w:next w:val="CommentText"/>
    <w:link w:val="CommentSubjectChar"/>
    <w:uiPriority w:val="99"/>
    <w:semiHidden/>
    <w:unhideWhenUsed/>
    <w:rsid w:val="005D500D"/>
    <w:rPr>
      <w:b/>
      <w:bCs/>
    </w:rPr>
  </w:style>
  <w:style w:type="character" w:customStyle="1" w:styleId="CommentSubjectChar">
    <w:name w:val="Comment Subject Char"/>
    <w:link w:val="CommentSubject"/>
    <w:uiPriority w:val="99"/>
    <w:semiHidden/>
    <w:rsid w:val="005D500D"/>
    <w:rPr>
      <w:b/>
      <w:bCs/>
      <w:lang w:eastAsia="en-US"/>
    </w:rPr>
  </w:style>
  <w:style w:type="paragraph" w:styleId="BalloonText">
    <w:name w:val="Balloon Text"/>
    <w:basedOn w:val="Normal"/>
    <w:link w:val="BalloonTextChar"/>
    <w:uiPriority w:val="99"/>
    <w:semiHidden/>
    <w:unhideWhenUsed/>
    <w:rsid w:val="005D500D"/>
    <w:rPr>
      <w:rFonts w:ascii="Tahoma" w:hAnsi="Tahoma"/>
      <w:sz w:val="16"/>
      <w:szCs w:val="16"/>
    </w:rPr>
  </w:style>
  <w:style w:type="character" w:customStyle="1" w:styleId="BalloonTextChar">
    <w:name w:val="Balloon Text Char"/>
    <w:link w:val="BalloonText"/>
    <w:uiPriority w:val="99"/>
    <w:semiHidden/>
    <w:rsid w:val="005D500D"/>
    <w:rPr>
      <w:rFonts w:ascii="Tahoma" w:hAnsi="Tahoma" w:cs="Tahoma"/>
      <w:sz w:val="16"/>
      <w:szCs w:val="16"/>
      <w:lang w:eastAsia="en-US"/>
    </w:rPr>
  </w:style>
  <w:style w:type="paragraph" w:customStyle="1" w:styleId="Default">
    <w:name w:val="Default"/>
    <w:rsid w:val="002F7B4C"/>
    <w:pPr>
      <w:autoSpaceDE w:val="0"/>
      <w:autoSpaceDN w:val="0"/>
      <w:adjustRightInd w:val="0"/>
    </w:pPr>
    <w:rPr>
      <w:rFonts w:ascii="Arial" w:hAnsi="Arial" w:cs="Arial"/>
      <w:color w:val="000000"/>
      <w:sz w:val="24"/>
      <w:szCs w:val="24"/>
      <w:lang w:val="en-IE" w:eastAsia="en-IE"/>
    </w:rPr>
  </w:style>
  <w:style w:type="paragraph" w:styleId="ListParagraph">
    <w:name w:val="List Paragraph"/>
    <w:basedOn w:val="Normal"/>
    <w:uiPriority w:val="34"/>
    <w:qFormat/>
    <w:rsid w:val="00E72832"/>
    <w:pPr>
      <w:spacing w:after="200" w:line="276" w:lineRule="auto"/>
      <w:ind w:left="720"/>
      <w:contextualSpacing/>
    </w:pPr>
    <w:rPr>
      <w:rFonts w:asciiTheme="minorHAnsi" w:eastAsiaTheme="minorHAnsi" w:hAnsiTheme="minorHAnsi" w:cstheme="minorBidi"/>
      <w:sz w:val="22"/>
      <w:szCs w:val="22"/>
      <w:lang w:val="en-IE"/>
    </w:rPr>
  </w:style>
  <w:style w:type="character" w:styleId="IntenseEmphasis">
    <w:name w:val="Intense Emphasis"/>
    <w:basedOn w:val="DefaultParagraphFont"/>
    <w:uiPriority w:val="21"/>
    <w:qFormat/>
    <w:rsid w:val="00935AC1"/>
    <w:rPr>
      <w:i/>
      <w:iCs/>
      <w:color w:val="4F81BD" w:themeColor="accent1"/>
    </w:rPr>
  </w:style>
  <w:style w:type="paragraph" w:styleId="NormalWeb">
    <w:name w:val="Normal (Web)"/>
    <w:basedOn w:val="Normal"/>
    <w:uiPriority w:val="99"/>
    <w:semiHidden/>
    <w:unhideWhenUsed/>
    <w:rsid w:val="0016514A"/>
    <w:pPr>
      <w:spacing w:before="100" w:beforeAutospacing="1" w:after="100" w:afterAutospacing="1"/>
    </w:pPr>
    <w:rPr>
      <w:lang w:val="en-IE" w:eastAsia="en-IE"/>
    </w:rPr>
  </w:style>
  <w:style w:type="character" w:customStyle="1" w:styleId="apple-converted-space">
    <w:name w:val="apple-converted-space"/>
    <w:basedOn w:val="DefaultParagraphFont"/>
    <w:rsid w:val="0016514A"/>
  </w:style>
  <w:style w:type="character" w:styleId="Hyperlink">
    <w:name w:val="Hyperlink"/>
    <w:basedOn w:val="DefaultParagraphFont"/>
    <w:uiPriority w:val="99"/>
    <w:semiHidden/>
    <w:unhideWhenUsed/>
    <w:rsid w:val="0016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Classroom2000</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NINEuser</dc:creator>
  <cp:lastModifiedBy>Rachel O Connor</cp:lastModifiedBy>
  <cp:revision>15</cp:revision>
  <cp:lastPrinted>2002-09-27T11:07:00Z</cp:lastPrinted>
  <dcterms:created xsi:type="dcterms:W3CDTF">2019-10-22T08:54:00Z</dcterms:created>
  <dcterms:modified xsi:type="dcterms:W3CDTF">2019-11-18T14:16:00Z</dcterms:modified>
</cp:coreProperties>
</file>