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28422031"/>
        <w:docPartObj>
          <w:docPartGallery w:val="Cover Pages"/>
          <w:docPartUnique/>
        </w:docPartObj>
      </w:sdtPr>
      <w:sdtEndPr/>
      <w:sdtContent>
        <w:p w:rsidR="00901723" w:rsidRDefault="00901723"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5F5DC2A" wp14:editId="640BFA2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416560</wp:posOffset>
                        </wp:positionV>
                      </mc:Fallback>
                    </mc:AlternateContent>
                    <wp:extent cx="6537960" cy="5349240"/>
                    <wp:effectExtent l="0" t="0" r="8255" b="317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lumMod val="60000"/>
                                    <a:lumOff val="4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01723" w:rsidRDefault="00901723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" fillcolor="#95b3d7 [1940]" stroked="f">
                    <v:fill color2="#95b3d7 [1940]" rotate="t" angle="45" colors="0 #526780;.5 #7996b9;1 #90b3dc" focus="100%" type="gradient"/>
                    <v:textbox inset="18pt,,108pt,7.2pt">
                      <w:txbxContent>
                        <w:p w:rsidR="00901723" w:rsidRDefault="0090172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901723" w:rsidRDefault="00901723"/>
        <w:p w:rsidR="00901723" w:rsidRDefault="00901723"/>
        <w:p w:rsidR="00901723" w:rsidRDefault="00901723"/>
        <w:p w:rsidR="00901723" w:rsidRDefault="00901723" w:rsidP="00901723">
          <w:pPr>
            <w:pStyle w:val="NoSpacing"/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  <w:lang w:val="en-IE" w:eastAsia="en-US"/>
            </w:rPr>
          </w:pPr>
          <w:r>
            <w:rPr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A892554" wp14:editId="3A69DBF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Pr="00901723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84"/>
                <w:szCs w:val="72"/>
              </w:rPr>
              <w:alias w:val="Title"/>
              <w:id w:val="15503416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color w:val="FFFFFF" w:themeColor="background1"/>
                  <w:sz w:val="84"/>
                  <w:szCs w:val="72"/>
                </w:rPr>
                <w:t>School Improvement Plan</w:t>
              </w:r>
            </w:sdtContent>
          </w:sdt>
        </w:p>
        <w:p w:rsidR="00901723" w:rsidRDefault="00696C88" w:rsidP="00901723">
          <w:pPr>
            <w:jc w:val="center"/>
          </w:pP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>
                    <wp:simplePos x="0" y="0"/>
                    <wp:positionH relativeFrom="column">
                      <wp:posOffset>-315595</wp:posOffset>
                    </wp:positionH>
                    <wp:positionV relativeFrom="paragraph">
                      <wp:posOffset>6323330</wp:posOffset>
                    </wp:positionV>
                    <wp:extent cx="2184400" cy="939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440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6C88" w:rsidRPr="00696C88" w:rsidRDefault="00CC21EC" w:rsidP="00696C8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>May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0;text-align:left;margin-left:-24.85pt;margin-top:497.9pt;width:172pt;height:7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" filled="f" stroked="f" strokeweight=".5pt">
                    <v:textbox>
                      <w:txbxContent>
                        <w:p w:rsidR="00696C88" w:rsidRPr="00696C88" w:rsidRDefault="00CC21EC" w:rsidP="00696C8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</w:rPr>
                            <w:t>May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1723"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A283B0C" wp14:editId="446DE432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3439160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3729990" cy="3703320"/>
                    <wp:effectExtent l="0" t="0" r="3810" b="508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9990" cy="37033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00000"/>
                                    <w:sz w:val="52"/>
                                    <w:szCs w:val="40"/>
                                  </w:rPr>
                                  <w:alias w:val="Author"/>
                                  <w:id w:val="-2058160157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01723" w:rsidRPr="00901723" w:rsidRDefault="00901723" w:rsidP="00901723">
                                    <w:pPr>
                                      <w:suppressOverlap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</w:rPr>
                                    </w:pPr>
                                    <w:r w:rsidRPr="00901723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  <w:lang w:val="en-GB"/>
                                      </w:rPr>
                                      <w:t>Numeracy 2013/2014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="Times New Roman" w:cs="Arial"/>
                                    <w:b/>
                                    <w:bCs/>
                                    <w:i/>
                                    <w:color w:val="F2F2F2" w:themeColor="background1" w:themeShade="F2"/>
                                    <w:sz w:val="32"/>
                                    <w:szCs w:val="20"/>
                                    <w:lang w:val="en-GB" w:eastAsia="en-GB"/>
                                  </w:rPr>
                                  <w:alias w:val="Abstract"/>
                                  <w:id w:val="941336610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01723" w:rsidRPr="00901723" w:rsidRDefault="00901723">
                                    <w:pPr>
                                      <w:suppressOverlap/>
                                      <w:rPr>
                                        <w:b/>
                                        <w:i/>
                                        <w:color w:val="F2F2F2" w:themeColor="background1" w:themeShade="F2"/>
                                        <w:sz w:val="40"/>
                                      </w:rPr>
                                    </w:pPr>
                                    <w:r w:rsidRPr="00901723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2F2F2" w:themeColor="background1" w:themeShade="F2"/>
                                        <w:sz w:val="32"/>
                                        <w:szCs w:val="20"/>
                                        <w:lang w:val="en-GB" w:eastAsia="en-GB"/>
                                      </w:rPr>
                                      <w:t>The focus of our evaluation is to identify and assess areas of numeracy in need of improvement thereby developing practical, implementable and effective whole-school strategies which will enhance our students overall proficiency in areas of numeracy as identified by the data.</w:t>
                                    </w:r>
                                  </w:p>
                                </w:sdtContent>
                              </w:sdt>
                              <w:p w:rsidR="00901723" w:rsidRDefault="00901723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left:0;text-align:left;margin-left:0;margin-top:0;width:293.7pt;height:291.6pt;z-index:251663360;visibility:visible;mso-wrap-style:square;mso-width-percent:0;mso-height-percent:450;mso-left-percent:445;mso-top-percent:590;mso-wrap-distance-left:9pt;mso-wrap-distance-top:0;mso-wrap-distance-right:9pt;mso-wrap-distance-bottom:0;mso-position-horizontal-relative:margin;mso-position-vertical-relative:margin;mso-width-percent:0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" fillcolor="#152639 [964]" stroked="f" strokeweight=".5pt">
                    <v:fill color2="#4f81bd [3204]" rotate="t" focusposition="1,1" focussize="" colors="0 #254872;.5 #3a6ba5;1 #4780c5" focus="100%" type="gradientRadial"/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C00000"/>
                              <w:sz w:val="52"/>
                              <w:szCs w:val="40"/>
                            </w:rPr>
                            <w:alias w:val="Author"/>
                            <w:id w:val="-205816015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01723" w:rsidRPr="00901723" w:rsidRDefault="00901723" w:rsidP="00901723">
                              <w:pPr>
                                <w:suppressOverlap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</w:rPr>
                              </w:pPr>
                              <w:r w:rsidRPr="0090172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  <w:lang w:val="en-GB"/>
                                </w:rPr>
                                <w:t>Numeracy 2013/2014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="Times New Roman" w:cs="Arial"/>
                              <w:b/>
                              <w:bCs/>
                              <w:i/>
                              <w:color w:val="F2F2F2" w:themeColor="background1" w:themeShade="F2"/>
                              <w:sz w:val="32"/>
                              <w:szCs w:val="20"/>
                              <w:lang w:val="en-GB" w:eastAsia="en-GB"/>
                            </w:rPr>
                            <w:alias w:val="Abstract"/>
                            <w:id w:val="94133661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01723" w:rsidRPr="00901723" w:rsidRDefault="00901723">
                              <w:pPr>
                                <w:suppressOverlap/>
                                <w:rPr>
                                  <w:b/>
                                  <w:i/>
                                  <w:color w:val="F2F2F2" w:themeColor="background1" w:themeShade="F2"/>
                                  <w:sz w:val="40"/>
                                </w:rPr>
                              </w:pPr>
                              <w:r w:rsidRPr="00901723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color w:val="F2F2F2" w:themeColor="background1" w:themeShade="F2"/>
                                  <w:sz w:val="32"/>
                                  <w:szCs w:val="20"/>
                                  <w:lang w:val="en-GB" w:eastAsia="en-GB"/>
                                </w:rPr>
                                <w:t>The focus of our evaluation is to identify and assess areas of numeracy in need of improvement thereby developing practical, implementable and effective whole-school strategies which will enhance our students overall proficiency in areas of numeracy as identified by the data.</w:t>
                              </w:r>
                            </w:p>
                          </w:sdtContent>
                        </w:sdt>
                        <w:p w:rsidR="00901723" w:rsidRDefault="0090172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01723"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D82BC7" wp14:editId="6E14546C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374650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3162300" cy="3703320"/>
                    <wp:effectExtent l="0" t="0" r="0" b="508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62300" cy="37033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  <a:tileRect l="-100000" b="-100000"/>
                            </a:gra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1723" w:rsidRDefault="009017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-990476409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01723" w:rsidRDefault="0090172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Phone"/>
                                  <w:id w:val="-1685818842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01723" w:rsidRDefault="0090172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2074617618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01723" w:rsidRDefault="0090172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01723" w:rsidRPr="00901723" w:rsidRDefault="00901723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pacing w:val="6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6" o:spid="_x0000_s1029" type="#_x0000_t202" style="position:absolute;left:0;text-align:left;margin-left:0;margin-top:0;width:249pt;height:291.6pt;z-index:251662336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" fillcolor="#152639 [964]" stroked="f" strokeweight=".5pt">
                    <v:fill color2="#4f81bd [3204]" rotate="t" focusposition=",1" focussize="" colors="0 #254872;.5 #3a6ba5;1 #4780c5" focus="100%" type="gradientRadial"/>
                    <v:textbox inset=",7.2pt,,7.2pt">
                      <w:txbxContent>
                        <w:p w:rsidR="00901723" w:rsidRDefault="009017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-990476409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01723" w:rsidRDefault="0090172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Phone"/>
                            <w:id w:val="-1685818842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01723" w:rsidRDefault="0090172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2074617618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01723" w:rsidRDefault="0090172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01723" w:rsidRPr="00901723" w:rsidRDefault="00901723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pacing w:val="6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01723" w:rsidRPr="00901723">
            <w:rPr>
              <w:b/>
              <w:noProof/>
              <w:sz w:val="32"/>
              <w:lang w:eastAsia="en-IE"/>
            </w:rPr>
            <w:drawing>
              <wp:anchor distT="0" distB="0" distL="114300" distR="114300" simplePos="0" relativeHeight="251664384" behindDoc="1" locked="0" layoutInCell="1" allowOverlap="1" wp14:anchorId="1CF798FD" wp14:editId="61B4EF02">
                <wp:simplePos x="0" y="0"/>
                <wp:positionH relativeFrom="column">
                  <wp:posOffset>1373505</wp:posOffset>
                </wp:positionH>
                <wp:positionV relativeFrom="paragraph">
                  <wp:posOffset>557530</wp:posOffset>
                </wp:positionV>
                <wp:extent cx="3462828" cy="1731414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sst.png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828" cy="1731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1723" w:rsidRPr="00901723">
            <w:rPr>
              <w:b/>
              <w:sz w:val="32"/>
            </w:rPr>
            <w:t>Ramsgrange Community School</w:t>
          </w:r>
          <w:r w:rsidR="00901723">
            <w:br w:type="page"/>
          </w:r>
        </w:p>
      </w:sdtContent>
    </w:sdt>
    <w:p w:rsidR="00AA4CAF" w:rsidRPr="00AA4CAF" w:rsidRDefault="00AA4CAF" w:rsidP="00AA4CAF">
      <w:pPr>
        <w:shd w:val="clear" w:color="auto" w:fill="0F243E" w:themeFill="text2" w:themeFillShade="80"/>
        <w:spacing w:after="0"/>
        <w:contextualSpacing/>
        <w:rPr>
          <w:rFonts w:eastAsia="Times New Roman" w:cs="Times New Roman"/>
          <w:b/>
          <w:caps/>
          <w:color w:val="FFFFFF" w:themeColor="background1"/>
          <w:sz w:val="32"/>
          <w:szCs w:val="24"/>
          <w:lang w:val="en-GB" w:eastAsia="en-GB"/>
        </w:rPr>
      </w:pPr>
      <w:r w:rsidRPr="00AA4CAF">
        <w:rPr>
          <w:rFonts w:eastAsia="Times New Roman" w:cs="Times New Roman"/>
          <w:b/>
          <w:caps/>
          <w:color w:val="FFFFFF" w:themeColor="background1"/>
          <w:sz w:val="32"/>
          <w:szCs w:val="24"/>
          <w:lang w:val="en-GB" w:eastAsia="en-GB"/>
        </w:rPr>
        <w:lastRenderedPageBreak/>
        <w:t>INTRODUCTION</w:t>
      </w:r>
    </w:p>
    <w:p w:rsidR="00AA4CAF" w:rsidRDefault="00AA4CAF" w:rsidP="00AA4CAF">
      <w:pPr>
        <w:spacing w:after="0"/>
        <w:contextualSpacing/>
        <w:rPr>
          <w:rFonts w:eastAsia="Times New Roman" w:cs="Times New Roman"/>
          <w:b/>
          <w:caps/>
          <w:szCs w:val="24"/>
          <w:lang w:val="en-GB" w:eastAsia="en-GB"/>
        </w:rPr>
      </w:pPr>
    </w:p>
    <w:p w:rsidR="007B1C08" w:rsidRPr="007B1C08" w:rsidRDefault="00CC41AB" w:rsidP="00AA4CAF">
      <w:pPr>
        <w:spacing w:after="0"/>
        <w:contextualSpacing/>
        <w:rPr>
          <w:rFonts w:eastAsia="Times New Roman" w:cs="Times New Roman"/>
          <w:b/>
          <w:caps/>
          <w:szCs w:val="24"/>
          <w:lang w:val="en-GB" w:eastAsia="en-GB"/>
        </w:rPr>
      </w:pPr>
      <w:r>
        <w:rPr>
          <w:rFonts w:eastAsia="Times New Roman" w:cs="Times New Roman"/>
          <w:b/>
          <w:caps/>
          <w:szCs w:val="24"/>
          <w:lang w:val="en-GB" w:eastAsia="en-GB"/>
        </w:rPr>
        <w:t>Summary of our Mai</w:t>
      </w:r>
      <w:r w:rsidR="00AA4CAF" w:rsidRPr="00AA4CAF">
        <w:rPr>
          <w:rFonts w:eastAsia="Times New Roman" w:cs="Times New Roman"/>
          <w:b/>
          <w:caps/>
          <w:szCs w:val="24"/>
          <w:lang w:val="en-GB" w:eastAsia="en-GB"/>
        </w:rPr>
        <w:t>n Strengths</w:t>
      </w:r>
    </w:p>
    <w:p w:rsidR="007B1C08" w:rsidRPr="007B1C08" w:rsidRDefault="007B1C08" w:rsidP="00AA4CAF">
      <w:pPr>
        <w:spacing w:after="0"/>
        <w:ind w:left="405"/>
        <w:contextualSpacing/>
        <w:rPr>
          <w:rFonts w:eastAsia="Times New Roman" w:cs="Times New Roman"/>
          <w:b/>
          <w:sz w:val="32"/>
          <w:szCs w:val="24"/>
          <w:lang w:val="en-GB" w:eastAsia="en-GB"/>
        </w:rPr>
      </w:pPr>
    </w:p>
    <w:p w:rsidR="007B1C08" w:rsidRPr="007B1C08" w:rsidRDefault="007B1C08" w:rsidP="00AA4CAF">
      <w:pPr>
        <w:numPr>
          <w:ilvl w:val="0"/>
          <w:numId w:val="4"/>
        </w:numPr>
        <w:spacing w:after="0"/>
        <w:ind w:left="1134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Our DEIS plan has focused on Numeracy and therefore;</w:t>
      </w:r>
    </w:p>
    <w:p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There is awareness of numeracy amongst staff and they see themselves as having a role to play in developing numeracy skills.</w:t>
      </w:r>
    </w:p>
    <w:p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Teachers wherever possible use concrete materials or link problems to real life.</w:t>
      </w:r>
    </w:p>
    <w:p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We actively encourage the involvement of parents in the advancement</w:t>
      </w:r>
      <w:r w:rsidR="000E2B88">
        <w:rPr>
          <w:rFonts w:eastAsia="Times New Roman" w:cs="Times New Roman"/>
          <w:szCs w:val="24"/>
          <w:lang w:val="en-GB" w:eastAsia="en-GB"/>
        </w:rPr>
        <w:t xml:space="preserve"> of</w:t>
      </w:r>
      <w:r w:rsidRPr="007B1C08">
        <w:rPr>
          <w:rFonts w:eastAsia="Times New Roman" w:cs="Times New Roman"/>
          <w:szCs w:val="24"/>
          <w:lang w:val="en-GB" w:eastAsia="en-GB"/>
        </w:rPr>
        <w:t xml:space="preserve"> their children’s numeracy skill levels through programmes such as Maths for Fun, delivered by trained parents.</w:t>
      </w:r>
    </w:p>
    <w:p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 xml:space="preserve">A dedicated staff that is willing to engage with programmes in order to enhance student numeracy and professional development.  </w:t>
      </w:r>
    </w:p>
    <w:p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Parents are confident in their ability to help their child with numeracy issues.</w:t>
      </w:r>
    </w:p>
    <w:p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Our cohort of first year students’ numeracy ability correlates positively with the STen norms.</w:t>
      </w:r>
    </w:p>
    <w:p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Strong tradition and culture of cross-curricular activities.</w:t>
      </w:r>
    </w:p>
    <w:p w:rsidR="007B1C08" w:rsidRPr="007B1C08" w:rsidRDefault="007B1C08" w:rsidP="00AA4CAF">
      <w:pPr>
        <w:spacing w:after="0"/>
        <w:ind w:left="1080"/>
        <w:contextualSpacing/>
        <w:rPr>
          <w:rFonts w:eastAsia="Times New Roman" w:cs="Times New Roman"/>
          <w:szCs w:val="24"/>
          <w:lang w:val="en-GB" w:eastAsia="en-GB"/>
        </w:rPr>
      </w:pPr>
    </w:p>
    <w:p w:rsidR="007B1C08" w:rsidRPr="007B1C08" w:rsidRDefault="007B1C08" w:rsidP="00AA4CAF">
      <w:pPr>
        <w:spacing w:after="0"/>
        <w:rPr>
          <w:rFonts w:eastAsia="Times New Roman" w:cs="Times New Roman"/>
          <w:sz w:val="32"/>
          <w:szCs w:val="24"/>
          <w:lang w:val="en-GB" w:eastAsia="en-GB"/>
        </w:rPr>
      </w:pPr>
    </w:p>
    <w:p w:rsidR="007B1C08" w:rsidRPr="007B1C08" w:rsidRDefault="00AA4CAF" w:rsidP="00AA4CAF">
      <w:pPr>
        <w:spacing w:after="0"/>
        <w:rPr>
          <w:rFonts w:eastAsia="Times New Roman" w:cs="Times New Roman"/>
          <w:b/>
          <w:caps/>
          <w:szCs w:val="24"/>
          <w:lang w:val="en-GB" w:eastAsia="en-GB"/>
        </w:rPr>
      </w:pPr>
      <w:r w:rsidRPr="00AA4CAF">
        <w:rPr>
          <w:rFonts w:eastAsia="Times New Roman" w:cs="Times New Roman"/>
          <w:b/>
          <w:caps/>
          <w:szCs w:val="24"/>
          <w:lang w:val="en-GB" w:eastAsia="en-GB"/>
        </w:rPr>
        <w:t>Summary of the areas prioritised for improvement</w:t>
      </w:r>
    </w:p>
    <w:p w:rsidR="007B1C08" w:rsidRPr="007B1C08" w:rsidRDefault="007B1C08" w:rsidP="00AA4CAF">
      <w:pPr>
        <w:spacing w:after="0"/>
        <w:rPr>
          <w:rFonts w:eastAsia="Times New Roman" w:cs="Times New Roman"/>
          <w:sz w:val="32"/>
          <w:szCs w:val="24"/>
          <w:lang w:val="en-GB" w:eastAsia="en-GB"/>
        </w:rPr>
      </w:pP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 continued development of common teaching approaches to percentages, data gathering/analysis and language related to numeracy across the curriculum.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 continuous development of a numeracy rich environment.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 xml:space="preserve">Ensuring that first year students improve their competence in a range of mathematical concepts and operations identified by the criterion referenced test, such as percentages, data analysis and literacy for numeracy. 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Embedding a culture of ‘numeracy confidence’ across the stakeholders in RCS.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Increasing the up-take of higher level maths both at junior and senior cycle.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Develop awareness around n</w:t>
      </w:r>
      <w:r w:rsidR="000E2B88">
        <w:rPr>
          <w:rFonts w:eastAsia="Times New Roman" w:cs="Times New Roman"/>
          <w:szCs w:val="24"/>
          <w:lang w:val="en-GB" w:eastAsia="en-GB"/>
        </w:rPr>
        <w:t>umeracy life skills Basic Maths</w:t>
      </w:r>
      <w:r w:rsidRPr="007B1C08">
        <w:rPr>
          <w:rFonts w:eastAsia="Times New Roman" w:cs="Times New Roman"/>
          <w:szCs w:val="24"/>
          <w:lang w:val="en-GB" w:eastAsia="en-GB"/>
        </w:rPr>
        <w:t xml:space="preserve"> and the role of all stakeholders in nurturing those skills.</w:t>
      </w:r>
    </w:p>
    <w:p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 promotion of the Student Journal as a focal point for developing and implementing our numeracy strategy. Encourage the use of the Student Journal as a tool in developing Assessment for Learning strategies around numeracy.</w:t>
      </w:r>
    </w:p>
    <w:p w:rsidR="007B1C08" w:rsidRPr="007B1C08" w:rsidRDefault="007B1C08" w:rsidP="007B1C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:rsidR="00AA4CAF" w:rsidRDefault="00AA4CAF" w:rsidP="00AA4CAF">
      <w:pPr>
        <w:tabs>
          <w:tab w:val="left" w:pos="2240"/>
        </w:tabs>
        <w:sectPr w:rsidR="00AA4CAF" w:rsidSect="00901723">
          <w:pgSz w:w="11906" w:h="16838"/>
          <w:pgMar w:top="1361" w:right="1077" w:bottom="1361" w:left="1077" w:header="709" w:footer="709" w:gutter="0"/>
          <w:pgNumType w:start="0"/>
          <w:cols w:space="708"/>
          <w:titlePg/>
          <w:docGrid w:linePitch="360"/>
        </w:sectPr>
      </w:pPr>
    </w:p>
    <w:p w:rsidR="00AA4CAF" w:rsidRPr="00AA4CAF" w:rsidRDefault="00AA4CAF" w:rsidP="00AA4CAF">
      <w:pPr>
        <w:spacing w:after="0" w:line="240" w:lineRule="auto"/>
        <w:rPr>
          <w:rFonts w:asciiTheme="minorHAnsi" w:eastAsiaTheme="minorEastAsia" w:hAnsiTheme="minorHAnsi"/>
          <w:szCs w:val="24"/>
          <w:lang w:val="en-US"/>
        </w:rPr>
      </w:pPr>
    </w:p>
    <w:p w:rsidR="0022206A" w:rsidRPr="003C151A" w:rsidRDefault="0022206A" w:rsidP="003C1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b/>
          <w:szCs w:val="24"/>
          <w:u w:val="single"/>
          <w:lang w:val="en-US"/>
        </w:rPr>
      </w:pPr>
      <w:r w:rsidRPr="003C151A">
        <w:rPr>
          <w:rFonts w:eastAsiaTheme="minorEastAsia"/>
          <w:b/>
          <w:szCs w:val="24"/>
          <w:u w:val="single"/>
          <w:lang w:val="en-US"/>
        </w:rPr>
        <w:t>SIP Update as at May 2015:</w:t>
      </w:r>
    </w:p>
    <w:p w:rsidR="003C151A" w:rsidRDefault="003C151A" w:rsidP="0022206A">
      <w:pPr>
        <w:spacing w:after="0" w:line="240" w:lineRule="auto"/>
        <w:rPr>
          <w:rFonts w:eastAsiaTheme="minorEastAsia"/>
          <w:szCs w:val="24"/>
          <w:u w:val="single"/>
          <w:lang w:val="en-US"/>
        </w:rPr>
      </w:pPr>
    </w:p>
    <w:p w:rsidR="0022206A" w:rsidRDefault="0022206A" w:rsidP="0022206A">
      <w:p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b/>
          <w:szCs w:val="24"/>
          <w:u w:val="single"/>
          <w:lang w:val="en-US"/>
        </w:rPr>
        <w:t>Target 1</w:t>
      </w:r>
      <w:r w:rsidRPr="003C151A">
        <w:rPr>
          <w:rFonts w:eastAsiaTheme="minorEastAsia"/>
          <w:szCs w:val="24"/>
          <w:lang w:val="en-US"/>
        </w:rPr>
        <w:t xml:space="preserve">: </w:t>
      </w:r>
      <w:r w:rsidRPr="003C151A">
        <w:rPr>
          <w:rFonts w:eastAsiaTheme="minorEastAsia"/>
          <w:b/>
          <w:szCs w:val="24"/>
          <w:lang w:val="en-US"/>
        </w:rPr>
        <w:t xml:space="preserve">To increase the proportion of students taking higher level </w:t>
      </w:r>
      <w:proofErr w:type="spellStart"/>
      <w:r w:rsidRPr="003C151A">
        <w:rPr>
          <w:rFonts w:eastAsiaTheme="minorEastAsia"/>
          <w:b/>
          <w:szCs w:val="24"/>
          <w:lang w:val="en-US"/>
        </w:rPr>
        <w:t>Maths</w:t>
      </w:r>
      <w:proofErr w:type="spellEnd"/>
      <w:r w:rsidRPr="003C151A">
        <w:rPr>
          <w:rFonts w:eastAsiaTheme="minorEastAsia"/>
          <w:b/>
          <w:szCs w:val="24"/>
          <w:lang w:val="en-US"/>
        </w:rPr>
        <w:t xml:space="preserve"> at Junior Certificate from 30% to 35% by 2014 and to 40% by 2015</w:t>
      </w:r>
      <w:r w:rsidRPr="003C151A">
        <w:rPr>
          <w:rFonts w:eastAsiaTheme="minorEastAsia"/>
          <w:szCs w:val="24"/>
          <w:lang w:val="en-US"/>
        </w:rPr>
        <w:t>.</w:t>
      </w:r>
    </w:p>
    <w:p w:rsidR="0065070E" w:rsidRDefault="0065070E" w:rsidP="0022206A">
      <w:pPr>
        <w:spacing w:after="0" w:line="240" w:lineRule="auto"/>
        <w:rPr>
          <w:rFonts w:eastAsiaTheme="minorEastAsia"/>
          <w:szCs w:val="24"/>
          <w:lang w:val="en-US"/>
        </w:rPr>
      </w:pPr>
    </w:p>
    <w:p w:rsidR="0065070E" w:rsidRPr="0065070E" w:rsidRDefault="0065070E" w:rsidP="0022206A">
      <w:pPr>
        <w:spacing w:after="0" w:line="240" w:lineRule="auto"/>
        <w:rPr>
          <w:rFonts w:eastAsiaTheme="minorEastAsia"/>
          <w:b/>
          <w:szCs w:val="24"/>
          <w:lang w:val="en-US"/>
        </w:rPr>
      </w:pPr>
      <w:r w:rsidRPr="0065070E">
        <w:rPr>
          <w:rFonts w:eastAsiaTheme="minorEastAsia"/>
          <w:b/>
          <w:szCs w:val="24"/>
          <w:u w:val="single"/>
          <w:lang w:val="en-US"/>
        </w:rPr>
        <w:t>Result Update</w:t>
      </w:r>
      <w:r w:rsidRPr="0065070E">
        <w:rPr>
          <w:rFonts w:eastAsiaTheme="minorEastAsia"/>
          <w:b/>
          <w:szCs w:val="24"/>
          <w:lang w:val="en-US"/>
        </w:rPr>
        <w:t>:</w:t>
      </w:r>
    </w:p>
    <w:p w:rsidR="00AA4CAF" w:rsidRPr="003C151A" w:rsidRDefault="00A91817" w:rsidP="00A91817">
      <w:pPr>
        <w:tabs>
          <w:tab w:val="left" w:pos="720"/>
          <w:tab w:val="left" w:pos="4992"/>
        </w:tabs>
        <w:spacing w:after="0" w:line="240" w:lineRule="auto"/>
        <w:rPr>
          <w:szCs w:val="24"/>
        </w:rPr>
      </w:pPr>
      <w:r w:rsidRPr="003C151A">
        <w:rPr>
          <w:szCs w:val="24"/>
        </w:rPr>
        <w:tab/>
      </w:r>
    </w:p>
    <w:p w:rsidR="00AA4CAF" w:rsidRPr="003C151A" w:rsidRDefault="0022206A" w:rsidP="0022206A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 xml:space="preserve">31.3% of Students sat Junior Cert </w:t>
      </w: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 xml:space="preserve"> at HL in 2014. This was an increase of 1.3%. </w:t>
      </w:r>
    </w:p>
    <w:p w:rsidR="0022206A" w:rsidRPr="003C151A" w:rsidRDefault="0022206A" w:rsidP="0022206A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>This fell short of the target by 3.7% but still showed an increase.</w:t>
      </w:r>
    </w:p>
    <w:p w:rsidR="0022206A" w:rsidRPr="003C151A" w:rsidRDefault="0022206A" w:rsidP="0022206A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 xml:space="preserve">The school recognizes the shortfall and projects such as the introduction of TL21, Algebra for Fun, </w:t>
      </w: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 xml:space="preserve"> for Fun and </w:t>
      </w:r>
      <w:proofErr w:type="spellStart"/>
      <w:r w:rsidRPr="003C151A">
        <w:rPr>
          <w:rFonts w:eastAsiaTheme="minorEastAsia"/>
          <w:szCs w:val="24"/>
          <w:lang w:val="en-US"/>
        </w:rPr>
        <w:t>MATHletes</w:t>
      </w:r>
      <w:proofErr w:type="spellEnd"/>
      <w:r w:rsidRPr="003C151A">
        <w:rPr>
          <w:rFonts w:eastAsiaTheme="minorEastAsia"/>
          <w:szCs w:val="24"/>
          <w:lang w:val="en-US"/>
        </w:rPr>
        <w:t xml:space="preserve"> should help the further increase of those </w:t>
      </w:r>
      <w:proofErr w:type="spellStart"/>
      <w:r w:rsidRPr="003C151A">
        <w:rPr>
          <w:rFonts w:eastAsiaTheme="minorEastAsia"/>
          <w:szCs w:val="24"/>
          <w:lang w:val="en-US"/>
        </w:rPr>
        <w:t>chosing</w:t>
      </w:r>
      <w:proofErr w:type="spellEnd"/>
      <w:r w:rsidRPr="003C151A">
        <w:rPr>
          <w:rFonts w:eastAsiaTheme="minorEastAsia"/>
          <w:szCs w:val="24"/>
          <w:lang w:val="en-US"/>
        </w:rPr>
        <w:t xml:space="preserve"> to do </w:t>
      </w: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 xml:space="preserve"> at HL.</w:t>
      </w:r>
    </w:p>
    <w:p w:rsidR="0022206A" w:rsidRPr="003C151A" w:rsidRDefault="0022206A" w:rsidP="0022206A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>The target of 40% by 2015 has been re-adjusted to 38% as a more realistic, attainable target.</w:t>
      </w:r>
    </w:p>
    <w:p w:rsidR="0022206A" w:rsidRPr="003C151A" w:rsidRDefault="0022206A" w:rsidP="0022206A">
      <w:pPr>
        <w:spacing w:after="0" w:line="240" w:lineRule="auto"/>
        <w:rPr>
          <w:rFonts w:eastAsiaTheme="minorEastAsia"/>
          <w:szCs w:val="24"/>
          <w:lang w:val="en-US"/>
        </w:rPr>
      </w:pPr>
    </w:p>
    <w:p w:rsidR="00AA4CAF" w:rsidRPr="003C151A" w:rsidRDefault="00AA4CAF" w:rsidP="003C151A">
      <w:pPr>
        <w:spacing w:after="0" w:line="240" w:lineRule="auto"/>
        <w:rPr>
          <w:rFonts w:eastAsiaTheme="minorEastAsia"/>
          <w:szCs w:val="24"/>
          <w:lang w:val="en-US"/>
        </w:rPr>
      </w:pPr>
    </w:p>
    <w:p w:rsidR="00AA4CAF" w:rsidRPr="00B0411C" w:rsidRDefault="003C151A" w:rsidP="00AA4CAF">
      <w:pPr>
        <w:tabs>
          <w:tab w:val="left" w:pos="6260"/>
        </w:tabs>
        <w:rPr>
          <w:szCs w:val="24"/>
        </w:rPr>
      </w:pPr>
      <w:r w:rsidRPr="003C151A">
        <w:rPr>
          <w:b/>
          <w:szCs w:val="24"/>
          <w:u w:val="single"/>
        </w:rPr>
        <w:t>Target 2:</w:t>
      </w:r>
      <w:r w:rsidRPr="003C151A">
        <w:rPr>
          <w:b/>
          <w:szCs w:val="24"/>
        </w:rPr>
        <w:t xml:space="preserve"> To increase the 2012/2013 1</w:t>
      </w:r>
      <w:r w:rsidRPr="003C151A">
        <w:rPr>
          <w:b/>
          <w:szCs w:val="24"/>
          <w:vertAlign w:val="superscript"/>
        </w:rPr>
        <w:t>st</w:t>
      </w:r>
      <w:r w:rsidRPr="003C151A">
        <w:rPr>
          <w:b/>
          <w:szCs w:val="24"/>
        </w:rPr>
        <w:t xml:space="preserve"> year </w:t>
      </w:r>
      <w:proofErr w:type="gramStart"/>
      <w:r w:rsidRPr="003C151A">
        <w:rPr>
          <w:b/>
          <w:szCs w:val="24"/>
        </w:rPr>
        <w:t>cohorts</w:t>
      </w:r>
      <w:proofErr w:type="gramEnd"/>
      <w:r w:rsidRPr="003C151A">
        <w:rPr>
          <w:b/>
          <w:szCs w:val="24"/>
        </w:rPr>
        <w:t xml:space="preserve"> ability to gather and analyse data from 78% to 83% by the end of 2</w:t>
      </w:r>
      <w:r w:rsidRPr="003C151A">
        <w:rPr>
          <w:b/>
          <w:szCs w:val="24"/>
          <w:vertAlign w:val="superscript"/>
        </w:rPr>
        <w:t>nd</w:t>
      </w:r>
      <w:r w:rsidRPr="003C151A">
        <w:rPr>
          <w:b/>
          <w:szCs w:val="24"/>
        </w:rPr>
        <w:t xml:space="preserve"> Year (2013) and 90% by the end of 3</w:t>
      </w:r>
      <w:r w:rsidRPr="003C151A">
        <w:rPr>
          <w:b/>
          <w:szCs w:val="24"/>
          <w:vertAlign w:val="superscript"/>
        </w:rPr>
        <w:t>rd</w:t>
      </w:r>
      <w:r w:rsidRPr="003C151A">
        <w:rPr>
          <w:b/>
          <w:szCs w:val="24"/>
        </w:rPr>
        <w:t xml:space="preserve"> year (2014).</w:t>
      </w:r>
    </w:p>
    <w:p w:rsidR="0065070E" w:rsidRDefault="0065070E" w:rsidP="00AA4CAF">
      <w:pPr>
        <w:tabs>
          <w:tab w:val="left" w:pos="6260"/>
        </w:tabs>
        <w:rPr>
          <w:b/>
          <w:szCs w:val="24"/>
        </w:rPr>
      </w:pPr>
      <w:r>
        <w:rPr>
          <w:b/>
          <w:szCs w:val="24"/>
        </w:rPr>
        <w:t>Results Update:</w:t>
      </w:r>
    </w:p>
    <w:p w:rsidR="0065070E" w:rsidRPr="0065070E" w:rsidRDefault="0065070E" w:rsidP="0065070E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Students were set 3 tasks in line with this target.</w:t>
      </w:r>
    </w:p>
    <w:p w:rsidR="0065070E" w:rsidRPr="0065070E" w:rsidRDefault="0065070E" w:rsidP="0065070E">
      <w:pPr>
        <w:pStyle w:val="ListParagraph"/>
        <w:numPr>
          <w:ilvl w:val="1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To gather and analyse graph data – Pie Chart</w:t>
      </w:r>
    </w:p>
    <w:p w:rsidR="0065070E" w:rsidRPr="0065070E" w:rsidRDefault="0065070E" w:rsidP="0065070E">
      <w:pPr>
        <w:pStyle w:val="ListParagraph"/>
        <w:numPr>
          <w:ilvl w:val="1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To interpret the data and convert to Percentages</w:t>
      </w:r>
    </w:p>
    <w:p w:rsidR="0065070E" w:rsidRPr="0065070E" w:rsidRDefault="0065070E" w:rsidP="0065070E">
      <w:pPr>
        <w:pStyle w:val="ListParagraph"/>
        <w:numPr>
          <w:ilvl w:val="1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To plot information onto a bar chart</w:t>
      </w:r>
    </w:p>
    <w:p w:rsidR="0065070E" w:rsidRPr="00B0411C" w:rsidRDefault="0065070E" w:rsidP="0065070E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In the 1</w:t>
      </w:r>
      <w:r w:rsidRPr="0065070E">
        <w:rPr>
          <w:szCs w:val="24"/>
          <w:vertAlign w:val="superscript"/>
        </w:rPr>
        <w:t>st</w:t>
      </w:r>
      <w:r>
        <w:rPr>
          <w:szCs w:val="24"/>
        </w:rPr>
        <w:t xml:space="preserve"> task 82% of current 3</w:t>
      </w:r>
      <w:r w:rsidRPr="0065070E">
        <w:rPr>
          <w:szCs w:val="24"/>
          <w:vertAlign w:val="superscript"/>
        </w:rPr>
        <w:t>rd</w:t>
      </w:r>
      <w:r>
        <w:rPr>
          <w:szCs w:val="24"/>
        </w:rPr>
        <w:t xml:space="preserve"> years completed the task correctly – this falls short of the target set but demonstrates an increase in the </w:t>
      </w:r>
      <w:proofErr w:type="gramStart"/>
      <w:r>
        <w:rPr>
          <w:szCs w:val="24"/>
        </w:rPr>
        <w:t>cohorts</w:t>
      </w:r>
      <w:proofErr w:type="gramEnd"/>
      <w:r>
        <w:rPr>
          <w:szCs w:val="24"/>
        </w:rPr>
        <w:t xml:space="preserve"> ability</w:t>
      </w:r>
      <w:r w:rsidR="00B0411C">
        <w:rPr>
          <w:szCs w:val="24"/>
        </w:rPr>
        <w:t xml:space="preserve"> to gather and analyse data by 4% from 78%.</w:t>
      </w:r>
    </w:p>
    <w:p w:rsidR="00B0411C" w:rsidRPr="00B0411C" w:rsidRDefault="00B0411C" w:rsidP="00B0411C">
      <w:pPr>
        <w:pStyle w:val="ListParagraph"/>
        <w:numPr>
          <w:ilvl w:val="0"/>
          <w:numId w:val="22"/>
        </w:numPr>
        <w:tabs>
          <w:tab w:val="left" w:pos="6260"/>
        </w:tabs>
        <w:rPr>
          <w:szCs w:val="24"/>
        </w:rPr>
      </w:pPr>
      <w:r w:rsidRPr="00B0411C">
        <w:rPr>
          <w:szCs w:val="24"/>
        </w:rPr>
        <w:t>The target of 90% by 2015 has been re-adjusted to 85% as a more realistic, attainable target.</w:t>
      </w:r>
    </w:p>
    <w:p w:rsidR="00B0411C" w:rsidRPr="00B0411C" w:rsidRDefault="00B0411C" w:rsidP="0065070E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100% of students correctly plotted information onto a bar chart – this result far surpasses the target set and 100% will remain the target for next year’s cohort also.</w:t>
      </w: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Default="00B0411C" w:rsidP="00B0411C">
      <w:pPr>
        <w:pStyle w:val="ListParagraph"/>
        <w:tabs>
          <w:tab w:val="left" w:pos="6260"/>
        </w:tabs>
        <w:rPr>
          <w:szCs w:val="24"/>
        </w:rPr>
      </w:pPr>
    </w:p>
    <w:p w:rsidR="00B0411C" w:rsidRPr="00B0411C" w:rsidRDefault="00B0411C" w:rsidP="00B0411C">
      <w:pPr>
        <w:pStyle w:val="ListParagraph"/>
        <w:tabs>
          <w:tab w:val="left" w:pos="6260"/>
        </w:tabs>
        <w:rPr>
          <w:b/>
          <w:szCs w:val="24"/>
        </w:rPr>
      </w:pPr>
    </w:p>
    <w:p w:rsidR="00940810" w:rsidRDefault="00226E11" w:rsidP="00226E11">
      <w:pPr>
        <w:tabs>
          <w:tab w:val="left" w:pos="6260"/>
        </w:tabs>
        <w:rPr>
          <w:b/>
          <w:szCs w:val="24"/>
        </w:rPr>
      </w:pPr>
      <w:proofErr w:type="gramStart"/>
      <w:r w:rsidRPr="00226E11">
        <w:rPr>
          <w:b/>
          <w:szCs w:val="24"/>
          <w:u w:val="single"/>
        </w:rPr>
        <w:lastRenderedPageBreak/>
        <w:t>Target 3:</w:t>
      </w:r>
      <w:r>
        <w:rPr>
          <w:b/>
          <w:szCs w:val="24"/>
        </w:rPr>
        <w:t xml:space="preserve"> All of 2012/2013 1</w:t>
      </w:r>
      <w:r w:rsidRPr="00226E11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year student cohort will have a visual awareness of what percentages look like as part of a whole.</w:t>
      </w:r>
      <w:proofErr w:type="gramEnd"/>
      <w:r>
        <w:rPr>
          <w:b/>
          <w:szCs w:val="24"/>
        </w:rPr>
        <w:t xml:space="preserve"> All students should be able to convert their test results from fractions to percentages by Christmas.</w:t>
      </w:r>
    </w:p>
    <w:p w:rsidR="00B0411C" w:rsidRPr="0065070E" w:rsidRDefault="00B0411C" w:rsidP="00B0411C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Students were set 2 tasks in line with this target.</w:t>
      </w:r>
    </w:p>
    <w:p w:rsidR="00B0411C" w:rsidRPr="0065070E" w:rsidRDefault="00B0411C" w:rsidP="00B0411C">
      <w:pPr>
        <w:pStyle w:val="ListParagraph"/>
        <w:numPr>
          <w:ilvl w:val="1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To interpret the data and convert to Percentages</w:t>
      </w:r>
    </w:p>
    <w:p w:rsidR="00B0411C" w:rsidRPr="0065070E" w:rsidRDefault="00B0411C" w:rsidP="00B0411C">
      <w:pPr>
        <w:pStyle w:val="ListParagraph"/>
        <w:numPr>
          <w:ilvl w:val="1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To plot information onto a bar chart</w:t>
      </w:r>
    </w:p>
    <w:p w:rsidR="00B0411C" w:rsidRPr="00B0411C" w:rsidRDefault="00B0411C" w:rsidP="00B0411C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In the 1</w:t>
      </w:r>
      <w:r w:rsidRPr="0065070E">
        <w:rPr>
          <w:szCs w:val="24"/>
          <w:vertAlign w:val="superscript"/>
        </w:rPr>
        <w:t>st</w:t>
      </w:r>
      <w:r>
        <w:rPr>
          <w:szCs w:val="24"/>
        </w:rPr>
        <w:t xml:space="preserve"> task 76% of students successfully converted more than 90% of the fractions to percentages correctly.</w:t>
      </w:r>
    </w:p>
    <w:p w:rsidR="00B0411C" w:rsidRPr="00B0411C" w:rsidRDefault="00B0411C" w:rsidP="00B0411C">
      <w:pPr>
        <w:pStyle w:val="ListParagraph"/>
        <w:numPr>
          <w:ilvl w:val="0"/>
          <w:numId w:val="22"/>
        </w:numPr>
        <w:tabs>
          <w:tab w:val="left" w:pos="6260"/>
        </w:tabs>
        <w:rPr>
          <w:b/>
          <w:szCs w:val="24"/>
        </w:rPr>
      </w:pPr>
      <w:r>
        <w:rPr>
          <w:szCs w:val="24"/>
        </w:rPr>
        <w:t>Given the diverse abilities of our students this is a very satisfactory result – the target is being re-set at 90% for 2015/2016 as a more realistic and attainable target.</w:t>
      </w:r>
    </w:p>
    <w:p w:rsidR="00B0411C" w:rsidRPr="000E7CEE" w:rsidRDefault="00B0411C" w:rsidP="000E7CEE">
      <w:pPr>
        <w:pStyle w:val="ListParagraph"/>
        <w:numPr>
          <w:ilvl w:val="0"/>
          <w:numId w:val="22"/>
        </w:numPr>
        <w:rPr>
          <w:b/>
          <w:szCs w:val="24"/>
        </w:rPr>
      </w:pPr>
      <w:r w:rsidRPr="00B0411C">
        <w:rPr>
          <w:szCs w:val="24"/>
        </w:rPr>
        <w:t>100% of students correctly plotted information onto a bar chart – this result far surpasses the target set and 100% will remain the target for next year’s cohort also</w:t>
      </w:r>
      <w:r>
        <w:rPr>
          <w:szCs w:val="24"/>
        </w:rPr>
        <w:t xml:space="preserve">. </w:t>
      </w:r>
      <w:r w:rsidR="000E7CEE">
        <w:rPr>
          <w:szCs w:val="24"/>
        </w:rPr>
        <w:t>This demonstrated students’ recognition of what a percentage looks like and an understanding of its value in terms of plotting a chart.</w:t>
      </w:r>
    </w:p>
    <w:p w:rsidR="00226E11" w:rsidRDefault="00226E11" w:rsidP="00226E11">
      <w:pPr>
        <w:tabs>
          <w:tab w:val="left" w:pos="6260"/>
        </w:tabs>
        <w:rPr>
          <w:b/>
          <w:szCs w:val="24"/>
        </w:rPr>
      </w:pPr>
      <w:r w:rsidRPr="00226E11">
        <w:rPr>
          <w:b/>
          <w:szCs w:val="24"/>
          <w:u w:val="single"/>
        </w:rPr>
        <w:t>Target 4:</w:t>
      </w:r>
      <w:r>
        <w:rPr>
          <w:b/>
          <w:szCs w:val="24"/>
        </w:rPr>
        <w:t xml:space="preserve"> 80% of 2012/2013 1</w:t>
      </w:r>
      <w:r w:rsidRPr="00226E11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year student cohort will have knowledge of basic numeracy terminology e.g. ‘solve, simplify, analyse, compare, the sum of….’ By the end of 2013/2014 and this will increase to 95% by 2014/2015 (21% at the beginning of 2012/2013).</w:t>
      </w:r>
    </w:p>
    <w:p w:rsidR="00DA28B0" w:rsidRDefault="00DA28B0" w:rsidP="00226E11">
      <w:pPr>
        <w:tabs>
          <w:tab w:val="left" w:pos="6260"/>
        </w:tabs>
        <w:rPr>
          <w:szCs w:val="24"/>
        </w:rPr>
      </w:pPr>
      <w:r w:rsidRPr="00DA28B0">
        <w:rPr>
          <w:szCs w:val="24"/>
        </w:rPr>
        <w:t>Target 4 is being addressed by the TL21 project</w:t>
      </w:r>
      <w:r>
        <w:rPr>
          <w:szCs w:val="24"/>
        </w:rPr>
        <w:t xml:space="preserve">. There is in-depth reporting and analysis available from the Principal or alternatively for an overview please go to </w:t>
      </w:r>
      <w:hyperlink r:id="rId10" w:history="1">
        <w:r w:rsidRPr="00FF1AC0">
          <w:rPr>
            <w:rStyle w:val="Hyperlink"/>
            <w:szCs w:val="24"/>
          </w:rPr>
          <w:t>www.ramsgrangecommunityschool.ie</w:t>
        </w:r>
      </w:hyperlink>
      <w:r>
        <w:rPr>
          <w:szCs w:val="24"/>
        </w:rPr>
        <w:t xml:space="preserve">. This whole-school initiative has been hugely successful and 2015/2016 will see it introduced to </w:t>
      </w:r>
      <w:proofErr w:type="gramStart"/>
      <w:r>
        <w:rPr>
          <w:szCs w:val="24"/>
        </w:rPr>
        <w:t>selected</w:t>
      </w:r>
      <w:proofErr w:type="gramEnd"/>
      <w:r>
        <w:rPr>
          <w:szCs w:val="24"/>
        </w:rPr>
        <w:t xml:space="preserve"> other subject areas in the school.</w:t>
      </w:r>
    </w:p>
    <w:p w:rsidR="006B0BCA" w:rsidRDefault="006B0BCA" w:rsidP="00226E11">
      <w:pPr>
        <w:tabs>
          <w:tab w:val="left" w:pos="6260"/>
        </w:tabs>
        <w:rPr>
          <w:szCs w:val="24"/>
        </w:rPr>
      </w:pPr>
      <w:r w:rsidRPr="00300772">
        <w:rPr>
          <w:b/>
          <w:szCs w:val="24"/>
          <w:u w:val="single"/>
        </w:rPr>
        <w:t>Points of information</w:t>
      </w:r>
      <w:r w:rsidRPr="00300772">
        <w:rPr>
          <w:szCs w:val="24"/>
        </w:rPr>
        <w:t>:</w:t>
      </w:r>
      <w:r w:rsidR="00300772" w:rsidRPr="00300772">
        <w:rPr>
          <w:szCs w:val="24"/>
        </w:rPr>
        <w:t xml:space="preserve"> Students </w:t>
      </w:r>
      <w:r w:rsidR="00300772">
        <w:rPr>
          <w:szCs w:val="24"/>
        </w:rPr>
        <w:t>asked to match up 10 Maths W</w:t>
      </w:r>
      <w:r w:rsidR="00300772" w:rsidRPr="00300772">
        <w:rPr>
          <w:szCs w:val="24"/>
        </w:rPr>
        <w:t xml:space="preserve">ords with their definitions (Provided by the Maths </w:t>
      </w:r>
      <w:proofErr w:type="spellStart"/>
      <w:r w:rsidR="00300772" w:rsidRPr="00300772">
        <w:rPr>
          <w:szCs w:val="24"/>
        </w:rPr>
        <w:t>Dept</w:t>
      </w:r>
      <w:proofErr w:type="spellEnd"/>
      <w:r w:rsidR="00300772" w:rsidRPr="00300772">
        <w:rPr>
          <w:szCs w:val="24"/>
        </w:rPr>
        <w:t>)</w:t>
      </w:r>
    </w:p>
    <w:p w:rsidR="006B0BCA" w:rsidRDefault="006B0BCA" w:rsidP="006B0BCA">
      <w:pPr>
        <w:pStyle w:val="ListParagraph"/>
        <w:numPr>
          <w:ilvl w:val="0"/>
          <w:numId w:val="23"/>
        </w:numPr>
        <w:tabs>
          <w:tab w:val="left" w:pos="6260"/>
        </w:tabs>
        <w:rPr>
          <w:szCs w:val="24"/>
        </w:rPr>
      </w:pPr>
      <w:r w:rsidRPr="00300772">
        <w:rPr>
          <w:b/>
          <w:szCs w:val="24"/>
          <w:u w:val="single"/>
        </w:rPr>
        <w:t>3</w:t>
      </w:r>
      <w:r w:rsidRPr="00300772">
        <w:rPr>
          <w:b/>
          <w:szCs w:val="24"/>
          <w:u w:val="single"/>
          <w:vertAlign w:val="superscript"/>
        </w:rPr>
        <w:t>rd</w:t>
      </w:r>
      <w:r w:rsidRPr="00300772">
        <w:rPr>
          <w:b/>
          <w:szCs w:val="24"/>
          <w:u w:val="single"/>
        </w:rPr>
        <w:t xml:space="preserve"> years</w:t>
      </w:r>
      <w:r>
        <w:rPr>
          <w:szCs w:val="24"/>
        </w:rPr>
        <w:t>: (did not take part in TL21 Project)</w:t>
      </w:r>
    </w:p>
    <w:p w:rsidR="006B0BCA" w:rsidRDefault="006B0BCA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12% of students matched 100% correctly</w:t>
      </w:r>
    </w:p>
    <w:p w:rsidR="006B0BCA" w:rsidRDefault="006B0BCA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44% of students matched more than 70% correctly</w:t>
      </w:r>
    </w:p>
    <w:p w:rsidR="006B0BCA" w:rsidRDefault="006B0BCA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46% of students matched more than 50% correctly</w:t>
      </w:r>
    </w:p>
    <w:p w:rsidR="00300772" w:rsidRDefault="00300772" w:rsidP="00300772">
      <w:pPr>
        <w:pStyle w:val="ListParagraph"/>
        <w:tabs>
          <w:tab w:val="left" w:pos="6260"/>
        </w:tabs>
        <w:ind w:left="1440"/>
        <w:rPr>
          <w:szCs w:val="24"/>
        </w:rPr>
      </w:pPr>
    </w:p>
    <w:p w:rsidR="006B0BCA" w:rsidRDefault="006B0BCA" w:rsidP="006B0BCA">
      <w:pPr>
        <w:pStyle w:val="ListParagraph"/>
        <w:numPr>
          <w:ilvl w:val="0"/>
          <w:numId w:val="23"/>
        </w:numPr>
        <w:tabs>
          <w:tab w:val="left" w:pos="6260"/>
        </w:tabs>
        <w:rPr>
          <w:szCs w:val="24"/>
        </w:rPr>
      </w:pPr>
      <w:r w:rsidRPr="00300772">
        <w:rPr>
          <w:b/>
          <w:szCs w:val="24"/>
          <w:u w:val="single"/>
        </w:rPr>
        <w:t>1</w:t>
      </w:r>
      <w:r w:rsidRPr="00300772">
        <w:rPr>
          <w:b/>
          <w:szCs w:val="24"/>
          <w:u w:val="single"/>
          <w:vertAlign w:val="superscript"/>
        </w:rPr>
        <w:t>st</w:t>
      </w:r>
      <w:r w:rsidRPr="00300772">
        <w:rPr>
          <w:b/>
          <w:szCs w:val="24"/>
          <w:u w:val="single"/>
        </w:rPr>
        <w:t xml:space="preserve"> years</w:t>
      </w:r>
      <w:r>
        <w:rPr>
          <w:szCs w:val="24"/>
        </w:rPr>
        <w:t>: (took part in the TL21 Project)</w:t>
      </w:r>
    </w:p>
    <w:p w:rsidR="006B0BCA" w:rsidRDefault="00300772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7% of students matched 100% correctly</w:t>
      </w:r>
    </w:p>
    <w:p w:rsidR="00300772" w:rsidRDefault="00300772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36% of students matched more than 70% correctly</w:t>
      </w:r>
    </w:p>
    <w:p w:rsidR="00300772" w:rsidRDefault="00300772" w:rsidP="006B0BCA">
      <w:pPr>
        <w:pStyle w:val="ListParagraph"/>
        <w:numPr>
          <w:ilvl w:val="1"/>
          <w:numId w:val="23"/>
        </w:numPr>
        <w:tabs>
          <w:tab w:val="left" w:pos="6260"/>
        </w:tabs>
        <w:rPr>
          <w:szCs w:val="24"/>
        </w:rPr>
      </w:pPr>
      <w:r>
        <w:rPr>
          <w:szCs w:val="24"/>
        </w:rPr>
        <w:t>60% of students matched more than 50% correctly</w:t>
      </w: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:rsidR="00B0411C" w:rsidRPr="003C151A" w:rsidRDefault="000E7CEE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  <w:r>
        <w:rPr>
          <w:rFonts w:eastAsiaTheme="minorEastAsia"/>
          <w:b/>
          <w:szCs w:val="24"/>
          <w:u w:val="single"/>
          <w:lang w:val="en-US"/>
        </w:rPr>
        <w:t xml:space="preserve">Numeracy </w:t>
      </w:r>
      <w:r w:rsidR="00B0411C" w:rsidRPr="003C151A">
        <w:rPr>
          <w:rFonts w:eastAsiaTheme="minorEastAsia"/>
          <w:b/>
          <w:szCs w:val="24"/>
          <w:u w:val="single"/>
          <w:lang w:val="en-US"/>
        </w:rPr>
        <w:t>Actions taken:</w:t>
      </w:r>
    </w:p>
    <w:p w:rsidR="00B0411C" w:rsidRPr="003C151A" w:rsidRDefault="00B0411C" w:rsidP="00B0411C">
      <w:pPr>
        <w:spacing w:after="0" w:line="240" w:lineRule="auto"/>
        <w:rPr>
          <w:rFonts w:eastAsiaTheme="minorEastAsia"/>
          <w:szCs w:val="24"/>
          <w:lang w:val="en-US"/>
        </w:rPr>
      </w:pPr>
    </w:p>
    <w:p w:rsidR="00B0411C" w:rsidRPr="003C151A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 xml:space="preserve">HL </w:t>
      </w: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 xml:space="preserve"> is now the default for all 1</w:t>
      </w:r>
      <w:r w:rsidRPr="003C151A">
        <w:rPr>
          <w:rFonts w:eastAsiaTheme="minorEastAsia"/>
          <w:szCs w:val="24"/>
          <w:vertAlign w:val="superscript"/>
          <w:lang w:val="en-US"/>
        </w:rPr>
        <w:t>st</w:t>
      </w:r>
      <w:r w:rsidRPr="003C151A">
        <w:rPr>
          <w:rFonts w:eastAsiaTheme="minorEastAsia"/>
          <w:szCs w:val="24"/>
          <w:lang w:val="en-US"/>
        </w:rPr>
        <w:t xml:space="preserve"> year students excluding those with SEN and numeracy related difficulties.</w:t>
      </w:r>
    </w:p>
    <w:p w:rsidR="00B0411C" w:rsidRPr="003C151A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>Study skills seminars were provided for students during the school year by an outside agency – subsidized by the DEIS fund.</w:t>
      </w:r>
    </w:p>
    <w:p w:rsidR="00B0411C" w:rsidRPr="003C151A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 xml:space="preserve"> for Fun and Algebra for Fun were organized and rolled out by Parent Volunteers in conjunction with the HSCL Officer.</w:t>
      </w:r>
    </w:p>
    <w:p w:rsidR="00B0411C" w:rsidRPr="003C151A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>The Assessment and Change of Level Policy is currently at 1</w:t>
      </w:r>
      <w:r w:rsidRPr="003C151A">
        <w:rPr>
          <w:rFonts w:eastAsiaTheme="minorEastAsia"/>
          <w:szCs w:val="24"/>
          <w:vertAlign w:val="superscript"/>
          <w:lang w:val="en-US"/>
        </w:rPr>
        <w:t>st</w:t>
      </w:r>
      <w:r w:rsidRPr="003C151A">
        <w:rPr>
          <w:rFonts w:eastAsiaTheme="minorEastAsia"/>
          <w:szCs w:val="24"/>
          <w:lang w:val="en-US"/>
        </w:rPr>
        <w:t xml:space="preserve"> draft and will be brought to the BOM for ratification in May 2015.</w:t>
      </w:r>
    </w:p>
    <w:p w:rsidR="00B0411C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 w:rsidRPr="003C151A">
        <w:rPr>
          <w:rFonts w:eastAsiaTheme="minorEastAsia"/>
          <w:szCs w:val="24"/>
          <w:lang w:val="en-US"/>
        </w:rPr>
        <w:t xml:space="preserve">TL21 project – a whole-school Action Research project entitled “Literacy in Project </w:t>
      </w:r>
      <w:proofErr w:type="spellStart"/>
      <w:r w:rsidRPr="003C151A">
        <w:rPr>
          <w:rFonts w:eastAsiaTheme="minorEastAsia"/>
          <w:szCs w:val="24"/>
          <w:lang w:val="en-US"/>
        </w:rPr>
        <w:t>Maths</w:t>
      </w:r>
      <w:proofErr w:type="spellEnd"/>
      <w:r w:rsidRPr="003C151A">
        <w:rPr>
          <w:rFonts w:eastAsiaTheme="minorEastAsia"/>
          <w:szCs w:val="24"/>
          <w:lang w:val="en-US"/>
        </w:rPr>
        <w:t>”. See TL21 folder or website for further details on this project.</w:t>
      </w:r>
    </w:p>
    <w:p w:rsidR="00B0411C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proofErr w:type="spellStart"/>
      <w:r>
        <w:rPr>
          <w:rFonts w:eastAsiaTheme="minorEastAsia"/>
          <w:szCs w:val="24"/>
          <w:lang w:val="en-US"/>
        </w:rPr>
        <w:t>MATHletes</w:t>
      </w:r>
      <w:proofErr w:type="spellEnd"/>
      <w:r>
        <w:rPr>
          <w:rFonts w:eastAsiaTheme="minorEastAsia"/>
          <w:szCs w:val="24"/>
          <w:lang w:val="en-US"/>
        </w:rPr>
        <w:t xml:space="preserve"> was introduced by means of encouraging students to take part in this nationwide </w:t>
      </w:r>
      <w:proofErr w:type="spellStart"/>
      <w:r>
        <w:rPr>
          <w:rFonts w:eastAsiaTheme="minorEastAsia"/>
          <w:szCs w:val="24"/>
          <w:lang w:val="en-US"/>
        </w:rPr>
        <w:t>maths</w:t>
      </w:r>
      <w:proofErr w:type="spellEnd"/>
      <w:r>
        <w:rPr>
          <w:rFonts w:eastAsiaTheme="minorEastAsia"/>
          <w:szCs w:val="24"/>
          <w:lang w:val="en-US"/>
        </w:rPr>
        <w:t xml:space="preserve"> competition. RCS won the February and the March Cup – ranking 1</w:t>
      </w:r>
      <w:r w:rsidRPr="003C151A">
        <w:rPr>
          <w:rFonts w:eastAsiaTheme="minorEastAsia"/>
          <w:szCs w:val="24"/>
          <w:vertAlign w:val="superscript"/>
          <w:lang w:val="en-US"/>
        </w:rPr>
        <w:t>st</w:t>
      </w:r>
      <w:r>
        <w:rPr>
          <w:rFonts w:eastAsiaTheme="minorEastAsia"/>
          <w:szCs w:val="24"/>
          <w:lang w:val="en-US"/>
        </w:rPr>
        <w:t xml:space="preserve"> in the entire country Vs 225 other schools.</w:t>
      </w:r>
    </w:p>
    <w:p w:rsidR="00B0411C" w:rsidRDefault="00B0411C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Dedicated </w:t>
      </w:r>
      <w:proofErr w:type="spellStart"/>
      <w:r>
        <w:rPr>
          <w:rFonts w:eastAsiaTheme="minorEastAsia"/>
          <w:szCs w:val="24"/>
          <w:lang w:val="en-US"/>
        </w:rPr>
        <w:t>Maths</w:t>
      </w:r>
      <w:proofErr w:type="spellEnd"/>
      <w:r>
        <w:rPr>
          <w:rFonts w:eastAsiaTheme="minorEastAsia"/>
          <w:szCs w:val="24"/>
          <w:lang w:val="en-US"/>
        </w:rPr>
        <w:t xml:space="preserve"> noticeboard placed in prominent position in the school.</w:t>
      </w:r>
    </w:p>
    <w:p w:rsidR="000E7CEE" w:rsidRDefault="000E7CEE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SEN department time and resources</w:t>
      </w:r>
    </w:p>
    <w:p w:rsidR="000E7CEE" w:rsidRDefault="000E7CEE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3 </w:t>
      </w:r>
      <w:proofErr w:type="spellStart"/>
      <w:r>
        <w:rPr>
          <w:rFonts w:eastAsiaTheme="minorEastAsia"/>
          <w:szCs w:val="24"/>
          <w:lang w:val="en-US"/>
        </w:rPr>
        <w:t>Maths</w:t>
      </w:r>
      <w:proofErr w:type="spellEnd"/>
      <w:r>
        <w:rPr>
          <w:rFonts w:eastAsiaTheme="minorEastAsia"/>
          <w:szCs w:val="24"/>
          <w:lang w:val="en-US"/>
        </w:rPr>
        <w:t xml:space="preserve"> teachers deployed in every year</w:t>
      </w:r>
    </w:p>
    <w:p w:rsidR="000E7CEE" w:rsidRPr="003C151A" w:rsidRDefault="000E7CEE" w:rsidP="00B0411C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This list is not exhaustive.</w:t>
      </w:r>
    </w:p>
    <w:p w:rsidR="00B0411C" w:rsidRPr="003C151A" w:rsidRDefault="00B0411C" w:rsidP="00B0411C">
      <w:pPr>
        <w:pStyle w:val="ListParagraph"/>
        <w:spacing w:after="0" w:line="240" w:lineRule="auto"/>
        <w:rPr>
          <w:rFonts w:eastAsiaTheme="minorEastAsia"/>
          <w:szCs w:val="24"/>
          <w:lang w:val="en-US"/>
        </w:rPr>
      </w:pPr>
    </w:p>
    <w:p w:rsidR="00B0411C" w:rsidRPr="003C151A" w:rsidRDefault="00B0411C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  <w:r w:rsidRPr="003C151A">
        <w:rPr>
          <w:rFonts w:eastAsiaTheme="minorEastAsia"/>
          <w:b/>
          <w:szCs w:val="24"/>
          <w:u w:val="single"/>
          <w:lang w:val="en-US"/>
        </w:rPr>
        <w:t>Further Actions – 2015-2016.</w:t>
      </w:r>
    </w:p>
    <w:p w:rsidR="00B0411C" w:rsidRPr="003C151A" w:rsidRDefault="00B0411C" w:rsidP="00B0411C">
      <w:pPr>
        <w:spacing w:after="0" w:line="240" w:lineRule="auto"/>
        <w:rPr>
          <w:rFonts w:eastAsiaTheme="minorEastAsia"/>
          <w:szCs w:val="24"/>
          <w:lang w:val="en-US"/>
        </w:rPr>
      </w:pP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Continuation of the TL21 project – broadening its scope to include other subject areas.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proofErr w:type="spellStart"/>
      <w:r>
        <w:rPr>
          <w:rFonts w:eastAsiaTheme="minorEastAsia"/>
          <w:szCs w:val="24"/>
          <w:lang w:val="en-US"/>
        </w:rPr>
        <w:t>Finalising</w:t>
      </w:r>
      <w:proofErr w:type="spellEnd"/>
      <w:r>
        <w:rPr>
          <w:rFonts w:eastAsiaTheme="minorEastAsia"/>
          <w:szCs w:val="24"/>
          <w:lang w:val="en-US"/>
        </w:rPr>
        <w:t xml:space="preserve"> and publication of the ‘Assessment and Change of Level Policy’ which includes tracking of students’ progress throughout the school on different aspects of ability.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Continued participation in </w:t>
      </w:r>
      <w:proofErr w:type="spellStart"/>
      <w:r>
        <w:rPr>
          <w:rFonts w:eastAsiaTheme="minorEastAsia"/>
          <w:szCs w:val="24"/>
          <w:lang w:val="en-US"/>
        </w:rPr>
        <w:t>MATHletes</w:t>
      </w:r>
      <w:proofErr w:type="spellEnd"/>
      <w:r>
        <w:rPr>
          <w:rFonts w:eastAsiaTheme="minorEastAsia"/>
          <w:szCs w:val="24"/>
          <w:lang w:val="en-US"/>
        </w:rPr>
        <w:t xml:space="preserve"> competition.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Continued numeracy initiatives by HSCL to run in conjunction with Literacy initiatives.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Addition to journal re: Change of Levels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Study skills to be organized for relevant groups</w:t>
      </w:r>
    </w:p>
    <w:p w:rsidR="00B0411C" w:rsidRDefault="00B0411C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 xml:space="preserve">Continued promotion of </w:t>
      </w:r>
      <w:proofErr w:type="spellStart"/>
      <w:r>
        <w:rPr>
          <w:rFonts w:eastAsiaTheme="minorEastAsia"/>
          <w:szCs w:val="24"/>
          <w:lang w:val="en-US"/>
        </w:rPr>
        <w:t>Maths</w:t>
      </w:r>
      <w:proofErr w:type="spellEnd"/>
      <w:r>
        <w:rPr>
          <w:rFonts w:eastAsiaTheme="minorEastAsia"/>
          <w:szCs w:val="24"/>
          <w:lang w:val="en-US"/>
        </w:rPr>
        <w:t xml:space="preserve"> via CG, </w:t>
      </w:r>
      <w:proofErr w:type="spellStart"/>
      <w:r>
        <w:rPr>
          <w:rFonts w:eastAsiaTheme="minorEastAsia"/>
          <w:szCs w:val="24"/>
          <w:lang w:val="en-US"/>
        </w:rPr>
        <w:t>Maths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Dept</w:t>
      </w:r>
      <w:proofErr w:type="spellEnd"/>
      <w:r>
        <w:rPr>
          <w:rFonts w:eastAsiaTheme="minorEastAsia"/>
          <w:szCs w:val="24"/>
          <w:lang w:val="en-US"/>
        </w:rPr>
        <w:t xml:space="preserve"> etc.</w:t>
      </w:r>
    </w:p>
    <w:p w:rsidR="000E7CEE" w:rsidRPr="003C151A" w:rsidRDefault="000E7CEE" w:rsidP="00B0411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  <w:lang w:val="en-US"/>
        </w:rPr>
        <w:t>This list is not exhaustive.</w:t>
      </w:r>
    </w:p>
    <w:p w:rsidR="00B0411C" w:rsidRPr="00DA28B0" w:rsidRDefault="00B0411C" w:rsidP="00226E11">
      <w:pPr>
        <w:tabs>
          <w:tab w:val="left" w:pos="6260"/>
        </w:tabs>
        <w:rPr>
          <w:szCs w:val="24"/>
        </w:rPr>
      </w:pPr>
    </w:p>
    <w:p w:rsidR="00940810" w:rsidRPr="003C151A" w:rsidRDefault="00940810" w:rsidP="00940810">
      <w:pPr>
        <w:spacing w:after="0" w:line="240" w:lineRule="auto"/>
        <w:jc w:val="center"/>
        <w:rPr>
          <w:rFonts w:eastAsiaTheme="minorEastAsia"/>
          <w:szCs w:val="24"/>
          <w:lang w:val="en-US"/>
        </w:rPr>
      </w:pPr>
    </w:p>
    <w:p w:rsidR="00940810" w:rsidRPr="003C151A" w:rsidRDefault="00940810" w:rsidP="00940810">
      <w:pPr>
        <w:spacing w:after="0" w:line="240" w:lineRule="auto"/>
        <w:jc w:val="center"/>
        <w:rPr>
          <w:rFonts w:eastAsiaTheme="minorEastAsia"/>
          <w:szCs w:val="24"/>
          <w:lang w:val="en-US"/>
        </w:rPr>
      </w:pPr>
    </w:p>
    <w:p w:rsidR="00940810" w:rsidRPr="003C151A" w:rsidRDefault="00940810" w:rsidP="00940810">
      <w:pPr>
        <w:spacing w:after="0" w:line="240" w:lineRule="auto"/>
        <w:rPr>
          <w:rFonts w:asciiTheme="minorHAnsi" w:eastAsiaTheme="minorEastAsia" w:hAnsiTheme="minorHAnsi"/>
          <w:szCs w:val="24"/>
          <w:lang w:val="en-US"/>
        </w:rPr>
      </w:pPr>
    </w:p>
    <w:p w:rsidR="00940810" w:rsidRPr="003C151A" w:rsidRDefault="00940810" w:rsidP="00940810">
      <w:pPr>
        <w:spacing w:after="0" w:line="240" w:lineRule="auto"/>
        <w:rPr>
          <w:rFonts w:asciiTheme="minorHAnsi" w:eastAsiaTheme="minorEastAsia" w:hAnsiTheme="minorHAnsi"/>
          <w:szCs w:val="24"/>
          <w:lang w:val="en-US"/>
        </w:rPr>
      </w:pPr>
      <w:r w:rsidRPr="003C151A">
        <w:rPr>
          <w:rFonts w:asciiTheme="minorHAnsi" w:eastAsiaTheme="minorEastAsia" w:hAnsiTheme="minorHAns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D8424" wp14:editId="38634FFD">
                <wp:simplePos x="0" y="0"/>
                <wp:positionH relativeFrom="column">
                  <wp:posOffset>7813040</wp:posOffset>
                </wp:positionH>
                <wp:positionV relativeFrom="paragraph">
                  <wp:posOffset>4281170</wp:posOffset>
                </wp:positionV>
                <wp:extent cx="1511300" cy="774700"/>
                <wp:effectExtent l="0" t="0" r="12700" b="25400"/>
                <wp:wrapNone/>
                <wp:docPr id="14" name="Up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74700"/>
                        </a:xfrm>
                        <a:prstGeom prst="up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810" w:rsidRPr="00312FA3" w:rsidRDefault="00940810" w:rsidP="009408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12FA3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When will it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4" o:spid="_x0000_s1030" type="#_x0000_t79" style="position:absolute;margin-left:615.2pt;margin-top:337.1pt;width:119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" adj="7565,8032,5400,9416" fillcolor="#e36c0a [2409]" strokeweight="2pt">
                <v:fill color2="#e36c0a [2409]" rotate="t" angle="180" colors="0 #8e3b00;.5 #cd5900;1 #f46b00" focus="100%" type="gradient"/>
                <v:textbox>
                  <w:txbxContent>
                    <w:p w:rsidR="00940810" w:rsidRPr="00312FA3" w:rsidRDefault="00940810" w:rsidP="0094081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312FA3">
                        <w:rPr>
                          <w:b/>
                          <w:color w:val="FFFFFF" w:themeColor="background1"/>
                          <w:sz w:val="22"/>
                        </w:rPr>
                        <w:t>When will it happen?</w:t>
                      </w:r>
                    </w:p>
                  </w:txbxContent>
                </v:textbox>
              </v:shape>
            </w:pict>
          </mc:Fallback>
        </mc:AlternateContent>
      </w:r>
    </w:p>
    <w:p w:rsidR="00F33E27" w:rsidRPr="0022206A" w:rsidRDefault="00940810" w:rsidP="0022206A">
      <w:pPr>
        <w:tabs>
          <w:tab w:val="left" w:pos="6300"/>
        </w:tabs>
        <w:sectPr w:rsidR="00F33E27" w:rsidRPr="0022206A" w:rsidSect="0022206A">
          <w:pgSz w:w="11906" w:h="16838"/>
          <w:pgMar w:top="962" w:right="1077" w:bottom="1276" w:left="1077" w:header="709" w:footer="709" w:gutter="0"/>
          <w:pgNumType w:start="0"/>
          <w:cols w:space="708"/>
          <w:titlePg/>
          <w:docGrid w:linePitch="360"/>
        </w:sectPr>
      </w:pPr>
      <w:r w:rsidRPr="003C151A">
        <w:rPr>
          <w:szCs w:val="24"/>
        </w:rPr>
        <w:tab/>
      </w:r>
      <w:r w:rsidR="00B753FB" w:rsidRPr="00B753FB">
        <w:rPr>
          <w:rFonts w:asciiTheme="minorHAnsi" w:eastAsiaTheme="minorEastAsia" w:hAnsiTheme="minorHAns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ABEA0" wp14:editId="159FCC08">
                <wp:simplePos x="0" y="0"/>
                <wp:positionH relativeFrom="column">
                  <wp:posOffset>7809865</wp:posOffset>
                </wp:positionH>
                <wp:positionV relativeFrom="paragraph">
                  <wp:posOffset>3383280</wp:posOffset>
                </wp:positionV>
                <wp:extent cx="1511300" cy="1041400"/>
                <wp:effectExtent l="0" t="0" r="12700" b="25400"/>
                <wp:wrapNone/>
                <wp:docPr id="18" name="Up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1400"/>
                        </a:xfrm>
                        <a:prstGeom prst="up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3FB" w:rsidRPr="00B753FB" w:rsidRDefault="00B753FB" w:rsidP="00B753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753FB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When will it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8" o:spid="_x0000_s1031" type="#_x0000_t79" style="position:absolute;margin-left:614.95pt;margin-top:266.4pt;width:119pt;height: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" adj="7565,7079,5400,8939" fillcolor="#365f91 [2404]" strokeweight="2pt">
                <v:fill color2="#365f91 [2404]" rotate="t" angle="180" colors="0 #183457;.5 #274f80;1 #306099" focus="100%" type="gradient"/>
                <v:textbox>
                  <w:txbxContent>
                    <w:p w:rsidR="00B753FB" w:rsidRPr="00B753FB" w:rsidRDefault="00B753FB" w:rsidP="00B753F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753FB">
                        <w:rPr>
                          <w:b/>
                          <w:color w:val="FFFFFF" w:themeColor="background1"/>
                          <w:sz w:val="22"/>
                        </w:rPr>
                        <w:t>When will it happen?</w:t>
                      </w:r>
                    </w:p>
                  </w:txbxContent>
                </v:textbox>
              </v:shape>
            </w:pict>
          </mc:Fallback>
        </mc:AlternateContent>
      </w:r>
    </w:p>
    <w:p w:rsidR="00527CB4" w:rsidRDefault="00527CB4" w:rsidP="00527CB4">
      <w:pPr>
        <w:shd w:val="clear" w:color="auto" w:fill="1F497D" w:themeFill="text2"/>
        <w:tabs>
          <w:tab w:val="left" w:pos="6280"/>
        </w:tabs>
        <w:rPr>
          <w:b/>
          <w:color w:val="FFFFFF" w:themeColor="background1"/>
          <w:sz w:val="28"/>
        </w:rPr>
      </w:pPr>
      <w:r w:rsidRPr="00527CB4">
        <w:rPr>
          <w:b/>
          <w:color w:val="FFFFFF" w:themeColor="background1"/>
          <w:sz w:val="28"/>
        </w:rPr>
        <w:lastRenderedPageBreak/>
        <w:t xml:space="preserve">Monitoring &amp; </w:t>
      </w:r>
      <w:r>
        <w:rPr>
          <w:b/>
          <w:color w:val="FFFFFF" w:themeColor="background1"/>
          <w:sz w:val="28"/>
        </w:rPr>
        <w:t>R</w:t>
      </w:r>
      <w:r w:rsidRPr="00527CB4">
        <w:rPr>
          <w:b/>
          <w:color w:val="FFFFFF" w:themeColor="background1"/>
          <w:sz w:val="28"/>
        </w:rPr>
        <w:t>eview</w:t>
      </w:r>
    </w:p>
    <w:p w:rsidR="00B753FB" w:rsidRPr="007614D9" w:rsidRDefault="00527CB4" w:rsidP="00527CB4">
      <w:r w:rsidRPr="007614D9">
        <w:t>These strategies will be monitored and reviewed on an annual basis in order to assess;</w:t>
      </w:r>
    </w:p>
    <w:p w:rsidR="00527CB4" w:rsidRPr="007614D9" w:rsidRDefault="007614D9" w:rsidP="00527CB4">
      <w:pPr>
        <w:pStyle w:val="ListParagraph"/>
        <w:numPr>
          <w:ilvl w:val="0"/>
          <w:numId w:val="17"/>
        </w:numPr>
      </w:pPr>
      <w:r w:rsidRPr="007614D9">
        <w:t>The appropriateness of the targets set.</w:t>
      </w:r>
    </w:p>
    <w:p w:rsidR="007614D9" w:rsidRPr="007614D9" w:rsidRDefault="007614D9" w:rsidP="00527CB4">
      <w:pPr>
        <w:pStyle w:val="ListParagraph"/>
        <w:numPr>
          <w:ilvl w:val="0"/>
          <w:numId w:val="17"/>
        </w:numPr>
      </w:pPr>
      <w:r w:rsidRPr="007614D9">
        <w:t>The level of engagement of those with specific responsibility as outlined above.</w:t>
      </w:r>
    </w:p>
    <w:p w:rsidR="007614D9" w:rsidRPr="007614D9" w:rsidRDefault="007614D9" w:rsidP="00527CB4">
      <w:pPr>
        <w:pStyle w:val="ListParagraph"/>
        <w:numPr>
          <w:ilvl w:val="0"/>
          <w:numId w:val="17"/>
        </w:numPr>
      </w:pPr>
      <w:r w:rsidRPr="007614D9">
        <w:t>Improvements in the levels of numeracy in the key areas identified;</w:t>
      </w:r>
    </w:p>
    <w:p w:rsidR="007614D9" w:rsidRPr="007614D9" w:rsidRDefault="007614D9" w:rsidP="007614D9">
      <w:pPr>
        <w:pStyle w:val="ListParagraph"/>
        <w:numPr>
          <w:ilvl w:val="1"/>
          <w:numId w:val="17"/>
        </w:numPr>
      </w:pPr>
      <w:r w:rsidRPr="007614D9">
        <w:t xml:space="preserve">Proportion of students taking higher level at </w:t>
      </w:r>
      <w:r w:rsidR="000835F6" w:rsidRPr="007614D9">
        <w:t>Junior</w:t>
      </w:r>
      <w:r w:rsidR="000835F6">
        <w:t xml:space="preserve"> C</w:t>
      </w:r>
      <w:r w:rsidRPr="007614D9">
        <w:t>ertificate.</w:t>
      </w:r>
    </w:p>
    <w:p w:rsidR="007614D9" w:rsidRPr="007614D9" w:rsidRDefault="007614D9" w:rsidP="007614D9">
      <w:pPr>
        <w:pStyle w:val="ListParagraph"/>
        <w:numPr>
          <w:ilvl w:val="1"/>
          <w:numId w:val="17"/>
        </w:numPr>
      </w:pPr>
      <w:r w:rsidRPr="007614D9">
        <w:t>Data Analysis and Presentation.</w:t>
      </w:r>
    </w:p>
    <w:p w:rsidR="007614D9" w:rsidRPr="007614D9" w:rsidRDefault="007614D9" w:rsidP="007614D9">
      <w:pPr>
        <w:pStyle w:val="ListParagraph"/>
        <w:numPr>
          <w:ilvl w:val="1"/>
          <w:numId w:val="17"/>
        </w:numPr>
      </w:pPr>
      <w:r w:rsidRPr="007614D9">
        <w:t>Working with Percentages.</w:t>
      </w:r>
    </w:p>
    <w:p w:rsidR="007614D9" w:rsidRPr="007614D9" w:rsidRDefault="007614D9" w:rsidP="007614D9">
      <w:pPr>
        <w:pStyle w:val="ListParagraph"/>
        <w:numPr>
          <w:ilvl w:val="1"/>
          <w:numId w:val="17"/>
        </w:numPr>
      </w:pPr>
      <w:r w:rsidRPr="007614D9">
        <w:t>Literacy for Numeracy.</w:t>
      </w:r>
    </w:p>
    <w:p w:rsidR="007614D9" w:rsidRDefault="007614D9" w:rsidP="007614D9">
      <w:pPr>
        <w:rPr>
          <w:sz w:val="28"/>
        </w:rPr>
      </w:pPr>
    </w:p>
    <w:p w:rsidR="007614D9" w:rsidRDefault="007614D9" w:rsidP="007614D9">
      <w:pPr>
        <w:shd w:val="clear" w:color="auto" w:fill="1F497D" w:themeFill="text2"/>
        <w:rPr>
          <w:b/>
          <w:color w:val="FFFFFF" w:themeColor="background1"/>
          <w:sz w:val="28"/>
        </w:rPr>
      </w:pPr>
      <w:r w:rsidRPr="007614D9">
        <w:rPr>
          <w:b/>
          <w:color w:val="FFFFFF" w:themeColor="background1"/>
          <w:sz w:val="28"/>
        </w:rPr>
        <w:t>Ratification by the BOM.</w:t>
      </w:r>
    </w:p>
    <w:p w:rsidR="007614D9" w:rsidRDefault="007614D9" w:rsidP="007614D9">
      <w:r>
        <w:t>This SIP was considered and ratified by the BOM in June 2013.</w:t>
      </w:r>
    </w:p>
    <w:p w:rsidR="00953CC6" w:rsidRDefault="00953CC6" w:rsidP="007614D9">
      <w:r>
        <w:t>This update was presented to the BOM on May 5</w:t>
      </w:r>
      <w:r w:rsidRPr="00953CC6">
        <w:rPr>
          <w:vertAlign w:val="superscript"/>
        </w:rPr>
        <w:t>th</w:t>
      </w:r>
      <w:r>
        <w:t xml:space="preserve"> 2015.</w:t>
      </w:r>
    </w:p>
    <w:p w:rsidR="007614D9" w:rsidRDefault="007614D9" w:rsidP="007614D9"/>
    <w:p w:rsidR="007614D9" w:rsidRDefault="007614D9" w:rsidP="007614D9">
      <w:pPr>
        <w:shd w:val="clear" w:color="auto" w:fill="1F497D" w:themeFill="text2"/>
        <w:rPr>
          <w:b/>
          <w:color w:val="FFFFFF" w:themeColor="background1"/>
          <w:sz w:val="28"/>
        </w:rPr>
      </w:pPr>
      <w:r w:rsidRPr="007614D9">
        <w:rPr>
          <w:b/>
          <w:color w:val="FFFFFF" w:themeColor="background1"/>
          <w:sz w:val="28"/>
        </w:rPr>
        <w:t>Publishing</w:t>
      </w:r>
    </w:p>
    <w:p w:rsidR="007614D9" w:rsidRDefault="007614D9" w:rsidP="007614D9">
      <w:r>
        <w:t xml:space="preserve">It has been agreed that the SSE and the SIP will be made available in an agreed report format on the schools website, </w:t>
      </w:r>
      <w:hyperlink r:id="rId11" w:history="1">
        <w:r w:rsidRPr="007614D9">
          <w:rPr>
            <w:rStyle w:val="Hyperlink"/>
          </w:rPr>
          <w:t>www.ramsgrangecommunityschool.ie</w:t>
        </w:r>
      </w:hyperlink>
    </w:p>
    <w:p w:rsidR="007614D9" w:rsidRDefault="007614D9" w:rsidP="007614D9"/>
    <w:p w:rsidR="007614D9" w:rsidRDefault="007614D9" w:rsidP="007614D9">
      <w:pPr>
        <w:shd w:val="clear" w:color="auto" w:fill="1F497D" w:themeFill="text2"/>
        <w:rPr>
          <w:b/>
          <w:color w:val="FFFFFF" w:themeColor="background1"/>
          <w:sz w:val="28"/>
        </w:rPr>
      </w:pPr>
      <w:r w:rsidRPr="007614D9">
        <w:rPr>
          <w:b/>
          <w:color w:val="FFFFFF" w:themeColor="background1"/>
          <w:sz w:val="28"/>
        </w:rPr>
        <w:t>Further Information</w:t>
      </w:r>
    </w:p>
    <w:p w:rsidR="007614D9" w:rsidRDefault="007614D9" w:rsidP="007614D9">
      <w:pPr>
        <w:rPr>
          <w:sz w:val="28"/>
        </w:rPr>
      </w:pPr>
      <w:r>
        <w:rPr>
          <w:sz w:val="28"/>
        </w:rPr>
        <w:t xml:space="preserve">Further information may be obtained by stakeholders by contacting </w:t>
      </w:r>
    </w:p>
    <w:p w:rsidR="007614D9" w:rsidRDefault="007614D9" w:rsidP="007614D9">
      <w:pPr>
        <w:rPr>
          <w:sz w:val="28"/>
        </w:rPr>
      </w:pPr>
    </w:p>
    <w:p w:rsidR="007614D9" w:rsidRDefault="007614D9" w:rsidP="007614D9">
      <w:pPr>
        <w:ind w:firstLine="720"/>
        <w:rPr>
          <w:sz w:val="28"/>
        </w:rPr>
      </w:pPr>
      <w:r w:rsidRPr="007614D9">
        <w:rPr>
          <w:b/>
          <w:sz w:val="28"/>
        </w:rPr>
        <w:t>Post:</w:t>
      </w:r>
      <w:r w:rsidRPr="007614D9">
        <w:rPr>
          <w:b/>
          <w:sz w:val="28"/>
        </w:rPr>
        <w:tab/>
      </w:r>
      <w:r>
        <w:rPr>
          <w:sz w:val="28"/>
        </w:rPr>
        <w:t>The Principal</w:t>
      </w:r>
    </w:p>
    <w:p w:rsidR="007614D9" w:rsidRDefault="007614D9" w:rsidP="007614D9">
      <w:pPr>
        <w:ind w:left="1440" w:firstLine="720"/>
        <w:rPr>
          <w:sz w:val="28"/>
        </w:rPr>
      </w:pPr>
      <w:r>
        <w:rPr>
          <w:sz w:val="28"/>
        </w:rPr>
        <w:t>Ramsgrange Community School</w:t>
      </w:r>
    </w:p>
    <w:p w:rsidR="007614D9" w:rsidRDefault="007614D9" w:rsidP="007614D9">
      <w:pPr>
        <w:ind w:left="1440" w:firstLine="720"/>
        <w:rPr>
          <w:sz w:val="28"/>
        </w:rPr>
      </w:pPr>
      <w:r>
        <w:rPr>
          <w:sz w:val="28"/>
        </w:rPr>
        <w:t>Ramsgrange</w:t>
      </w:r>
    </w:p>
    <w:p w:rsidR="007614D9" w:rsidRDefault="007614D9" w:rsidP="007614D9">
      <w:pPr>
        <w:ind w:left="1440" w:firstLine="720"/>
        <w:rPr>
          <w:sz w:val="28"/>
        </w:rPr>
      </w:pPr>
      <w:r>
        <w:rPr>
          <w:sz w:val="28"/>
        </w:rPr>
        <w:t>New Ross</w:t>
      </w:r>
    </w:p>
    <w:p w:rsidR="007614D9" w:rsidRDefault="007614D9" w:rsidP="007614D9">
      <w:pPr>
        <w:ind w:left="1440" w:firstLine="720"/>
        <w:rPr>
          <w:sz w:val="28"/>
        </w:rPr>
      </w:pPr>
      <w:r>
        <w:rPr>
          <w:sz w:val="28"/>
        </w:rPr>
        <w:t>Co Wexford</w:t>
      </w:r>
    </w:p>
    <w:p w:rsidR="000E2B88" w:rsidRPr="007614D9" w:rsidRDefault="00953CC6" w:rsidP="00953CC6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bookmarkStart w:id="0" w:name="_GoBack"/>
      <w:bookmarkEnd w:id="0"/>
      <w:r w:rsidR="007614D9" w:rsidRPr="007614D9">
        <w:rPr>
          <w:b/>
          <w:sz w:val="28"/>
        </w:rPr>
        <w:t>Phone:</w:t>
      </w:r>
      <w:r w:rsidR="007614D9">
        <w:rPr>
          <w:sz w:val="28"/>
        </w:rPr>
        <w:tab/>
        <w:t>051 389211</w:t>
      </w:r>
    </w:p>
    <w:sectPr w:rsidR="000E2B88" w:rsidRPr="007614D9" w:rsidSect="00F33E27">
      <w:pgSz w:w="11906" w:h="16838"/>
      <w:pgMar w:top="1361" w:right="1077" w:bottom="1361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4" w:rsidRDefault="002D4D94" w:rsidP="00AA4CAF">
      <w:pPr>
        <w:spacing w:after="0" w:line="240" w:lineRule="auto"/>
      </w:pPr>
      <w:r>
        <w:separator/>
      </w:r>
    </w:p>
  </w:endnote>
  <w:endnote w:type="continuationSeparator" w:id="0">
    <w:p w:rsidR="002D4D94" w:rsidRDefault="002D4D94" w:rsidP="00AA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4" w:rsidRDefault="002D4D94" w:rsidP="00AA4CAF">
      <w:pPr>
        <w:spacing w:after="0" w:line="240" w:lineRule="auto"/>
      </w:pPr>
      <w:r>
        <w:separator/>
      </w:r>
    </w:p>
  </w:footnote>
  <w:footnote w:type="continuationSeparator" w:id="0">
    <w:p w:rsidR="002D4D94" w:rsidRDefault="002D4D94" w:rsidP="00AA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D8"/>
    <w:multiLevelType w:val="hybridMultilevel"/>
    <w:tmpl w:val="C7AE11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87494"/>
    <w:multiLevelType w:val="hybridMultilevel"/>
    <w:tmpl w:val="E5326B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84405"/>
    <w:multiLevelType w:val="hybridMultilevel"/>
    <w:tmpl w:val="73C6F7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74481"/>
    <w:multiLevelType w:val="hybridMultilevel"/>
    <w:tmpl w:val="AEB619F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01663"/>
    <w:multiLevelType w:val="hybridMultilevel"/>
    <w:tmpl w:val="15827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2E99"/>
    <w:multiLevelType w:val="hybridMultilevel"/>
    <w:tmpl w:val="9B2C62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13ACD"/>
    <w:multiLevelType w:val="hybridMultilevel"/>
    <w:tmpl w:val="148231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9489F"/>
    <w:multiLevelType w:val="hybridMultilevel"/>
    <w:tmpl w:val="530EC7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D535C"/>
    <w:multiLevelType w:val="hybridMultilevel"/>
    <w:tmpl w:val="DAA68B70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312E0"/>
    <w:multiLevelType w:val="hybridMultilevel"/>
    <w:tmpl w:val="530EC74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96411"/>
    <w:multiLevelType w:val="multilevel"/>
    <w:tmpl w:val="6CA0967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0D58CB"/>
    <w:multiLevelType w:val="hybridMultilevel"/>
    <w:tmpl w:val="3D3821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6A06E4"/>
    <w:multiLevelType w:val="hybridMultilevel"/>
    <w:tmpl w:val="F7C61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1446"/>
    <w:multiLevelType w:val="hybridMultilevel"/>
    <w:tmpl w:val="F64AF8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C21FE"/>
    <w:multiLevelType w:val="hybridMultilevel"/>
    <w:tmpl w:val="9768F8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A90A48"/>
    <w:multiLevelType w:val="hybridMultilevel"/>
    <w:tmpl w:val="427622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834B4B"/>
    <w:multiLevelType w:val="hybridMultilevel"/>
    <w:tmpl w:val="A4DC3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64510"/>
    <w:multiLevelType w:val="hybridMultilevel"/>
    <w:tmpl w:val="7EE6D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61711"/>
    <w:multiLevelType w:val="hybridMultilevel"/>
    <w:tmpl w:val="671AA62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52197"/>
    <w:multiLevelType w:val="hybridMultilevel"/>
    <w:tmpl w:val="A44A28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17FF1"/>
    <w:multiLevelType w:val="hybridMultilevel"/>
    <w:tmpl w:val="829AC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D4EE5"/>
    <w:multiLevelType w:val="hybridMultilevel"/>
    <w:tmpl w:val="C30C1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26C4D"/>
    <w:multiLevelType w:val="hybridMultilevel"/>
    <w:tmpl w:val="14DCC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9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20"/>
  </w:num>
  <w:num w:numId="15">
    <w:abstractNumId w:val="13"/>
  </w:num>
  <w:num w:numId="16">
    <w:abstractNumId w:val="11"/>
  </w:num>
  <w:num w:numId="17">
    <w:abstractNumId w:val="9"/>
  </w:num>
  <w:num w:numId="18">
    <w:abstractNumId w:val="16"/>
  </w:num>
  <w:num w:numId="19">
    <w:abstractNumId w:val="4"/>
  </w:num>
  <w:num w:numId="20">
    <w:abstractNumId w:val="17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23"/>
    <w:rsid w:val="000835F6"/>
    <w:rsid w:val="000A65EC"/>
    <w:rsid w:val="000E2B88"/>
    <w:rsid w:val="000E7CEE"/>
    <w:rsid w:val="001C5D18"/>
    <w:rsid w:val="0022206A"/>
    <w:rsid w:val="00226E11"/>
    <w:rsid w:val="002402E5"/>
    <w:rsid w:val="002D4D94"/>
    <w:rsid w:val="00300772"/>
    <w:rsid w:val="003C151A"/>
    <w:rsid w:val="00423A6A"/>
    <w:rsid w:val="00424969"/>
    <w:rsid w:val="00450395"/>
    <w:rsid w:val="00466A9E"/>
    <w:rsid w:val="00527CB4"/>
    <w:rsid w:val="00597924"/>
    <w:rsid w:val="005C26F9"/>
    <w:rsid w:val="0065070E"/>
    <w:rsid w:val="00696C88"/>
    <w:rsid w:val="006B0BCA"/>
    <w:rsid w:val="006F2B5E"/>
    <w:rsid w:val="0073442A"/>
    <w:rsid w:val="007475D4"/>
    <w:rsid w:val="007614D9"/>
    <w:rsid w:val="007B1C08"/>
    <w:rsid w:val="00901723"/>
    <w:rsid w:val="00940810"/>
    <w:rsid w:val="00953CC6"/>
    <w:rsid w:val="00A35FE7"/>
    <w:rsid w:val="00A91817"/>
    <w:rsid w:val="00AA4CAF"/>
    <w:rsid w:val="00AB39EF"/>
    <w:rsid w:val="00B0411C"/>
    <w:rsid w:val="00B753FB"/>
    <w:rsid w:val="00CC21EC"/>
    <w:rsid w:val="00CC41AB"/>
    <w:rsid w:val="00DA28B0"/>
    <w:rsid w:val="00F33E27"/>
    <w:rsid w:val="00F67067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1723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1723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AF"/>
  </w:style>
  <w:style w:type="paragraph" w:styleId="Footer">
    <w:name w:val="footer"/>
    <w:basedOn w:val="Normal"/>
    <w:link w:val="Foot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AF"/>
  </w:style>
  <w:style w:type="table" w:styleId="TableGrid">
    <w:name w:val="Table Grid"/>
    <w:basedOn w:val="TableNormal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8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753F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1723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1723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AF"/>
  </w:style>
  <w:style w:type="paragraph" w:styleId="Footer">
    <w:name w:val="footer"/>
    <w:basedOn w:val="Normal"/>
    <w:link w:val="Foot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AF"/>
  </w:style>
  <w:style w:type="table" w:styleId="TableGrid">
    <w:name w:val="Table Grid"/>
    <w:basedOn w:val="TableNormal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8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753F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sgrangecommunityschool.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msgrangecommunityschool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2013-05-22T00:00:00</PublishDate>
  <Abstract>The focus of our evaluation is to identify and assess areas of numeracy in need of improvement thereby developing practical, implementable and effective whole-school strategies which will enhance our students overall proficiency in areas of numeracy as identified by the data.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Numeracy 2013/2014</dc:creator>
  <cp:lastModifiedBy>O'Connor Rachel</cp:lastModifiedBy>
  <cp:revision>8</cp:revision>
  <cp:lastPrinted>2015-05-12T11:24:00Z</cp:lastPrinted>
  <dcterms:created xsi:type="dcterms:W3CDTF">2015-04-15T09:50:00Z</dcterms:created>
  <dcterms:modified xsi:type="dcterms:W3CDTF">2015-05-12T11:24:00Z</dcterms:modified>
</cp:coreProperties>
</file>