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71" w:rsidRDefault="00B67F71" w:rsidP="00B67F71">
      <w:pPr>
        <w:rPr>
          <w:rFonts w:ascii="Comic Sans MS" w:hAnsi="Comic Sans MS"/>
          <w:b/>
          <w:sz w:val="28"/>
          <w:szCs w:val="28"/>
        </w:rPr>
      </w:pPr>
      <w:r>
        <w:rPr>
          <w:rFonts w:ascii="Comic Sans MS" w:hAnsi="Comic Sans MS"/>
          <w:b/>
          <w:sz w:val="28"/>
          <w:szCs w:val="28"/>
        </w:rPr>
        <w:t xml:space="preserve">Key Points for </w:t>
      </w:r>
      <w:r w:rsidRPr="00333A6D">
        <w:rPr>
          <w:rFonts w:ascii="Comic Sans MS" w:hAnsi="Comic Sans MS"/>
          <w:b/>
          <w:sz w:val="28"/>
          <w:szCs w:val="28"/>
        </w:rPr>
        <w:t xml:space="preserve">Transition Year </w:t>
      </w:r>
      <w:r>
        <w:rPr>
          <w:rFonts w:ascii="Comic Sans MS" w:hAnsi="Comic Sans MS"/>
          <w:b/>
          <w:sz w:val="28"/>
          <w:szCs w:val="28"/>
        </w:rPr>
        <w:t xml:space="preserve">Programme </w:t>
      </w:r>
      <w:r w:rsidRPr="00333A6D">
        <w:rPr>
          <w:rFonts w:ascii="Comic Sans MS" w:hAnsi="Comic Sans MS"/>
          <w:b/>
          <w:sz w:val="28"/>
          <w:szCs w:val="28"/>
        </w:rPr>
        <w:t>2013/2014</w:t>
      </w:r>
    </w:p>
    <w:p w:rsidR="00B67F71" w:rsidRDefault="00B67F71" w:rsidP="00B67F71"/>
    <w:p w:rsidR="00B67F71" w:rsidRPr="008C7D6F" w:rsidRDefault="00B67F71" w:rsidP="00B67F71">
      <w:pPr>
        <w:pStyle w:val="Heading2"/>
        <w:spacing w:before="0" w:beforeAutospacing="0" w:after="0" w:afterAutospacing="0"/>
        <w:rPr>
          <w:sz w:val="20"/>
          <w:szCs w:val="20"/>
          <w:lang w:val="en"/>
        </w:rPr>
      </w:pPr>
      <w:bookmarkStart w:id="0" w:name="purpose"/>
      <w:bookmarkEnd w:id="0"/>
      <w:r>
        <w:rPr>
          <w:sz w:val="20"/>
          <w:szCs w:val="20"/>
          <w:lang w:val="en"/>
        </w:rPr>
        <w:t xml:space="preserve">1. </w:t>
      </w:r>
      <w:r w:rsidRPr="008C7D6F">
        <w:rPr>
          <w:sz w:val="20"/>
          <w:szCs w:val="20"/>
          <w:lang w:val="en"/>
        </w:rPr>
        <w:t xml:space="preserve">What’s the purpose of the Transition Year </w:t>
      </w:r>
      <w:proofErr w:type="spellStart"/>
      <w:r w:rsidRPr="008C7D6F">
        <w:rPr>
          <w:sz w:val="20"/>
          <w:szCs w:val="20"/>
          <w:lang w:val="en"/>
        </w:rPr>
        <w:t>Programme</w:t>
      </w:r>
      <w:proofErr w:type="spellEnd"/>
      <w:r w:rsidRPr="008C7D6F">
        <w:rPr>
          <w:sz w:val="20"/>
          <w:szCs w:val="20"/>
          <w:lang w:val="en"/>
        </w:rPr>
        <w:t>?</w:t>
      </w:r>
    </w:p>
    <w:p w:rsidR="00B67F71" w:rsidRPr="008C7D6F" w:rsidRDefault="00B67F71" w:rsidP="00B67F71">
      <w:pPr>
        <w:pStyle w:val="NormalWeb"/>
        <w:spacing w:before="0" w:beforeAutospacing="0" w:after="0" w:afterAutospacing="0"/>
        <w:rPr>
          <w:sz w:val="20"/>
          <w:szCs w:val="20"/>
          <w:lang w:val="en"/>
        </w:rPr>
      </w:pPr>
      <w:r w:rsidRPr="008C7D6F">
        <w:rPr>
          <w:sz w:val="20"/>
          <w:szCs w:val="20"/>
          <w:lang w:val="en"/>
        </w:rPr>
        <w:t>To promote maturity:</w:t>
      </w:r>
    </w:p>
    <w:p w:rsidR="00B67F71" w:rsidRPr="008C7D6F" w:rsidRDefault="00B67F71" w:rsidP="00B67F71">
      <w:pPr>
        <w:numPr>
          <w:ilvl w:val="0"/>
          <w:numId w:val="1"/>
        </w:numPr>
        <w:rPr>
          <w:sz w:val="20"/>
          <w:szCs w:val="20"/>
          <w:lang w:val="en"/>
        </w:rPr>
      </w:pPr>
      <w:r w:rsidRPr="008C7D6F">
        <w:rPr>
          <w:sz w:val="20"/>
          <w:szCs w:val="20"/>
          <w:lang w:val="en"/>
        </w:rPr>
        <w:t xml:space="preserve">Maturity in studies by making students more </w:t>
      </w:r>
      <w:r w:rsidRPr="00AD7D4D">
        <w:rPr>
          <w:b/>
          <w:sz w:val="20"/>
          <w:szCs w:val="20"/>
          <w:lang w:val="en"/>
        </w:rPr>
        <w:t>self-directed learner</w:t>
      </w:r>
      <w:r w:rsidRPr="008C7D6F">
        <w:rPr>
          <w:sz w:val="20"/>
          <w:szCs w:val="20"/>
          <w:lang w:val="en"/>
        </w:rPr>
        <w:t>s through the development of general, technical and academic skills</w:t>
      </w:r>
    </w:p>
    <w:p w:rsidR="00B67F71" w:rsidRPr="008C7D6F" w:rsidRDefault="00B67F71" w:rsidP="00B67F71">
      <w:pPr>
        <w:numPr>
          <w:ilvl w:val="0"/>
          <w:numId w:val="1"/>
        </w:numPr>
        <w:rPr>
          <w:sz w:val="20"/>
          <w:szCs w:val="20"/>
          <w:lang w:val="en"/>
        </w:rPr>
      </w:pPr>
      <w:r w:rsidRPr="008C7D6F">
        <w:rPr>
          <w:sz w:val="20"/>
          <w:szCs w:val="20"/>
          <w:lang w:val="en"/>
        </w:rPr>
        <w:t xml:space="preserve">Maturity in relation </w:t>
      </w:r>
      <w:r w:rsidRPr="00AD7D4D">
        <w:rPr>
          <w:sz w:val="20"/>
          <w:szCs w:val="20"/>
          <w:lang w:val="en"/>
        </w:rPr>
        <w:t>to</w:t>
      </w:r>
      <w:r w:rsidRPr="00AD7D4D">
        <w:rPr>
          <w:b/>
          <w:sz w:val="20"/>
          <w:szCs w:val="20"/>
          <w:lang w:val="en"/>
        </w:rPr>
        <w:t xml:space="preserve"> work and career</w:t>
      </w:r>
      <w:r w:rsidRPr="008C7D6F">
        <w:rPr>
          <w:sz w:val="20"/>
          <w:szCs w:val="20"/>
          <w:lang w:val="en"/>
        </w:rPr>
        <w:t>s by developing work-related skills</w:t>
      </w:r>
    </w:p>
    <w:p w:rsidR="00B67F71" w:rsidRPr="00AD7D4D" w:rsidRDefault="00B67F71" w:rsidP="00B67F71">
      <w:pPr>
        <w:numPr>
          <w:ilvl w:val="0"/>
          <w:numId w:val="1"/>
        </w:numPr>
        <w:rPr>
          <w:b/>
          <w:sz w:val="20"/>
          <w:szCs w:val="20"/>
          <w:lang w:val="en"/>
        </w:rPr>
      </w:pPr>
      <w:r w:rsidRPr="008C7D6F">
        <w:rPr>
          <w:sz w:val="20"/>
          <w:szCs w:val="20"/>
          <w:lang w:val="en"/>
        </w:rPr>
        <w:t xml:space="preserve">Personal maturity by providing opportunities to develop </w:t>
      </w:r>
      <w:r w:rsidRPr="00AD7D4D">
        <w:rPr>
          <w:b/>
          <w:sz w:val="20"/>
          <w:szCs w:val="20"/>
          <w:lang w:val="en"/>
        </w:rPr>
        <w:t>communication skills, self-confidence and a sense of responsibility</w:t>
      </w:r>
    </w:p>
    <w:p w:rsidR="00B67F71" w:rsidRPr="008C7D6F" w:rsidRDefault="00B67F71" w:rsidP="00B67F71">
      <w:pPr>
        <w:numPr>
          <w:ilvl w:val="0"/>
          <w:numId w:val="1"/>
        </w:numPr>
        <w:rPr>
          <w:sz w:val="20"/>
          <w:szCs w:val="20"/>
          <w:lang w:val="en"/>
        </w:rPr>
      </w:pPr>
      <w:r w:rsidRPr="008C7D6F">
        <w:rPr>
          <w:sz w:val="20"/>
          <w:szCs w:val="20"/>
          <w:lang w:val="en"/>
        </w:rPr>
        <w:t xml:space="preserve">Social maturity by developing </w:t>
      </w:r>
      <w:r w:rsidRPr="00AD7D4D">
        <w:rPr>
          <w:b/>
          <w:sz w:val="20"/>
          <w:szCs w:val="20"/>
          <w:lang w:val="en"/>
        </w:rPr>
        <w:t>greater ‘people’ skills</w:t>
      </w:r>
      <w:r w:rsidRPr="008C7D6F">
        <w:rPr>
          <w:sz w:val="20"/>
          <w:szCs w:val="20"/>
          <w:lang w:val="en"/>
        </w:rPr>
        <w:t xml:space="preserve"> and more awareness of the world outside school</w:t>
      </w:r>
    </w:p>
    <w:p w:rsidR="00B67F71" w:rsidRPr="008C7D6F" w:rsidRDefault="00B67F71" w:rsidP="00B67F71">
      <w:pPr>
        <w:numPr>
          <w:ilvl w:val="0"/>
          <w:numId w:val="1"/>
        </w:numPr>
        <w:rPr>
          <w:sz w:val="20"/>
          <w:szCs w:val="20"/>
          <w:lang w:val="en"/>
        </w:rPr>
      </w:pPr>
      <w:r w:rsidRPr="008C7D6F">
        <w:rPr>
          <w:sz w:val="20"/>
          <w:szCs w:val="20"/>
          <w:lang w:val="en"/>
        </w:rPr>
        <w:t xml:space="preserve">Maturity that will help the student make a more </w:t>
      </w:r>
      <w:r w:rsidRPr="00AD7D4D">
        <w:rPr>
          <w:b/>
          <w:sz w:val="20"/>
          <w:szCs w:val="20"/>
          <w:lang w:val="en"/>
        </w:rPr>
        <w:t>informed choice of subject for their Leaving Certificate</w:t>
      </w:r>
      <w:r>
        <w:rPr>
          <w:sz w:val="20"/>
          <w:szCs w:val="20"/>
          <w:lang w:val="en"/>
        </w:rPr>
        <w:t xml:space="preserve"> studies</w:t>
      </w:r>
    </w:p>
    <w:p w:rsidR="00B67F71" w:rsidRDefault="00B67F71" w:rsidP="00B67F71">
      <w:pPr>
        <w:pStyle w:val="Heading2"/>
        <w:spacing w:before="0" w:beforeAutospacing="0" w:after="0" w:afterAutospacing="0"/>
        <w:rPr>
          <w:sz w:val="20"/>
          <w:szCs w:val="20"/>
          <w:lang w:val="en"/>
        </w:rPr>
      </w:pPr>
      <w:bookmarkStart w:id="1" w:name="who_decides"/>
      <w:bookmarkEnd w:id="1"/>
    </w:p>
    <w:p w:rsidR="00B67F71" w:rsidRPr="008C7D6F" w:rsidRDefault="00B67F71" w:rsidP="00B67F71">
      <w:pPr>
        <w:pStyle w:val="Heading2"/>
        <w:spacing w:before="0" w:beforeAutospacing="0" w:after="0" w:afterAutospacing="0"/>
        <w:rPr>
          <w:sz w:val="20"/>
          <w:szCs w:val="20"/>
          <w:lang w:val="en"/>
        </w:rPr>
      </w:pPr>
      <w:bookmarkStart w:id="2" w:name="subjects"/>
      <w:bookmarkEnd w:id="2"/>
      <w:proofErr w:type="gramStart"/>
      <w:r>
        <w:rPr>
          <w:sz w:val="20"/>
          <w:szCs w:val="20"/>
          <w:lang w:val="en"/>
        </w:rPr>
        <w:t>2..</w:t>
      </w:r>
      <w:proofErr w:type="gramEnd"/>
      <w:r>
        <w:rPr>
          <w:sz w:val="20"/>
          <w:szCs w:val="20"/>
          <w:lang w:val="en"/>
        </w:rPr>
        <w:t xml:space="preserve"> </w:t>
      </w:r>
      <w:r w:rsidRPr="008C7D6F">
        <w:rPr>
          <w:sz w:val="20"/>
          <w:szCs w:val="20"/>
          <w:lang w:val="en"/>
        </w:rPr>
        <w:t>What subjects are studied?</w:t>
      </w:r>
    </w:p>
    <w:p w:rsidR="00B67F71" w:rsidRPr="008C7D6F" w:rsidRDefault="00B67F71" w:rsidP="00B67F71">
      <w:pPr>
        <w:pStyle w:val="NormalWeb"/>
        <w:spacing w:before="0" w:beforeAutospacing="0" w:after="0" w:afterAutospacing="0"/>
        <w:rPr>
          <w:sz w:val="20"/>
          <w:szCs w:val="20"/>
          <w:lang w:val="en"/>
        </w:rPr>
      </w:pPr>
      <w:r w:rsidRPr="008C7D6F">
        <w:rPr>
          <w:sz w:val="20"/>
          <w:szCs w:val="20"/>
          <w:lang w:val="en"/>
        </w:rPr>
        <w:t xml:space="preserve">This varies from school to school but in every school students follow a timetable as they do in other years. Most </w:t>
      </w:r>
      <w:proofErr w:type="spellStart"/>
      <w:r w:rsidRPr="008C7D6F">
        <w:rPr>
          <w:sz w:val="20"/>
          <w:szCs w:val="20"/>
          <w:lang w:val="en"/>
        </w:rPr>
        <w:t>programmes</w:t>
      </w:r>
      <w:proofErr w:type="spellEnd"/>
      <w:r w:rsidRPr="008C7D6F">
        <w:rPr>
          <w:sz w:val="20"/>
          <w:szCs w:val="20"/>
          <w:lang w:val="en"/>
        </w:rPr>
        <w:t xml:space="preserve"> work towards getting a balance between some continuation of essential core subjects, </w:t>
      </w:r>
      <w:r w:rsidRPr="00AD7D4D">
        <w:rPr>
          <w:b/>
          <w:sz w:val="20"/>
          <w:szCs w:val="20"/>
          <w:lang w:val="en"/>
        </w:rPr>
        <w:t>a tasting and sampling</w:t>
      </w:r>
      <w:r w:rsidRPr="008C7D6F">
        <w:rPr>
          <w:sz w:val="20"/>
          <w:szCs w:val="20"/>
          <w:lang w:val="en"/>
        </w:rPr>
        <w:t xml:space="preserve"> of other subjects, a variety of distinctive courses designed to broaden students’ horizons and some modules and activities specifically aimed at promoting the maturity that is central to the whole Transition Year ideal.</w:t>
      </w:r>
    </w:p>
    <w:p w:rsidR="00B67F71" w:rsidRDefault="00B67F71" w:rsidP="00B67F71">
      <w:pPr>
        <w:pStyle w:val="Heading2"/>
        <w:spacing w:before="0" w:beforeAutospacing="0" w:after="0" w:afterAutospacing="0"/>
        <w:rPr>
          <w:sz w:val="20"/>
          <w:szCs w:val="20"/>
          <w:lang w:val="en"/>
        </w:rPr>
      </w:pPr>
      <w:bookmarkStart w:id="3" w:name="common_features"/>
      <w:bookmarkEnd w:id="3"/>
    </w:p>
    <w:p w:rsidR="00B67F71" w:rsidRPr="008C7D6F" w:rsidRDefault="00B67F71" w:rsidP="00B67F71">
      <w:pPr>
        <w:pStyle w:val="Heading2"/>
        <w:spacing w:before="0" w:beforeAutospacing="0" w:after="0" w:afterAutospacing="0"/>
        <w:rPr>
          <w:sz w:val="20"/>
          <w:szCs w:val="20"/>
          <w:lang w:val="en"/>
        </w:rPr>
      </w:pPr>
      <w:r>
        <w:rPr>
          <w:sz w:val="20"/>
          <w:szCs w:val="20"/>
          <w:lang w:val="en"/>
        </w:rPr>
        <w:t xml:space="preserve">3. </w:t>
      </w:r>
      <w:r w:rsidRPr="008C7D6F">
        <w:rPr>
          <w:sz w:val="20"/>
          <w:szCs w:val="20"/>
          <w:lang w:val="en"/>
        </w:rPr>
        <w:t xml:space="preserve">Even if all these </w:t>
      </w:r>
      <w:proofErr w:type="spellStart"/>
      <w:r w:rsidRPr="008C7D6F">
        <w:rPr>
          <w:sz w:val="20"/>
          <w:szCs w:val="20"/>
          <w:lang w:val="en"/>
        </w:rPr>
        <w:t>programmes</w:t>
      </w:r>
      <w:proofErr w:type="spellEnd"/>
      <w:r w:rsidRPr="008C7D6F">
        <w:rPr>
          <w:sz w:val="20"/>
          <w:szCs w:val="20"/>
          <w:lang w:val="en"/>
        </w:rPr>
        <w:t xml:space="preserve"> are different, surely there are some features common to the </w:t>
      </w:r>
      <w:proofErr w:type="spellStart"/>
      <w:r w:rsidRPr="008C7D6F">
        <w:rPr>
          <w:sz w:val="20"/>
          <w:szCs w:val="20"/>
          <w:lang w:val="en"/>
        </w:rPr>
        <w:t>programme</w:t>
      </w:r>
      <w:proofErr w:type="spellEnd"/>
      <w:r w:rsidRPr="008C7D6F">
        <w:rPr>
          <w:sz w:val="20"/>
          <w:szCs w:val="20"/>
          <w:lang w:val="en"/>
        </w:rPr>
        <w:t xml:space="preserve"> in a lot of schools?</w:t>
      </w:r>
    </w:p>
    <w:p w:rsidR="00B67F71" w:rsidRPr="008C7D6F" w:rsidRDefault="00B67F71" w:rsidP="00B67F71">
      <w:pPr>
        <w:pStyle w:val="NormalWeb"/>
        <w:spacing w:before="0" w:beforeAutospacing="0" w:after="0" w:afterAutospacing="0"/>
        <w:rPr>
          <w:sz w:val="20"/>
          <w:szCs w:val="20"/>
          <w:lang w:val="en"/>
        </w:rPr>
      </w:pPr>
      <w:r w:rsidRPr="008C7D6F">
        <w:rPr>
          <w:sz w:val="20"/>
          <w:szCs w:val="20"/>
          <w:lang w:val="en"/>
        </w:rPr>
        <w:t xml:space="preserve">Many schools offer modules, short courses on particular topics. Most schools offer a work experience </w:t>
      </w:r>
      <w:proofErr w:type="spellStart"/>
      <w:r w:rsidRPr="008C7D6F">
        <w:rPr>
          <w:sz w:val="20"/>
          <w:szCs w:val="20"/>
          <w:lang w:val="en"/>
        </w:rPr>
        <w:t>programme</w:t>
      </w:r>
      <w:proofErr w:type="spellEnd"/>
      <w:r w:rsidRPr="008C7D6F">
        <w:rPr>
          <w:sz w:val="20"/>
          <w:szCs w:val="20"/>
          <w:lang w:val="en"/>
        </w:rPr>
        <w:t xml:space="preserve">. Mini-company, where students set up and operate a real business, is a popular way of learning. The </w:t>
      </w:r>
      <w:proofErr w:type="gramStart"/>
      <w:r w:rsidRPr="008C7D6F">
        <w:rPr>
          <w:sz w:val="20"/>
          <w:szCs w:val="20"/>
          <w:lang w:val="en"/>
        </w:rPr>
        <w:t>use of visiting speakers as well as trips beyond the classroom are</w:t>
      </w:r>
      <w:proofErr w:type="gramEnd"/>
      <w:r w:rsidRPr="008C7D6F">
        <w:rPr>
          <w:sz w:val="20"/>
          <w:szCs w:val="20"/>
          <w:lang w:val="en"/>
        </w:rPr>
        <w:t xml:space="preserve"> features of many </w:t>
      </w:r>
      <w:proofErr w:type="spellStart"/>
      <w:r w:rsidRPr="008C7D6F">
        <w:rPr>
          <w:sz w:val="20"/>
          <w:szCs w:val="20"/>
          <w:lang w:val="en"/>
        </w:rPr>
        <w:t>programmes</w:t>
      </w:r>
      <w:proofErr w:type="spellEnd"/>
      <w:r w:rsidRPr="008C7D6F">
        <w:rPr>
          <w:sz w:val="20"/>
          <w:szCs w:val="20"/>
          <w:lang w:val="en"/>
        </w:rPr>
        <w:t xml:space="preserve">. Project work, where students undertake independent research, usually more extensive than traditional ‘homework’, is also common to many </w:t>
      </w:r>
      <w:proofErr w:type="spellStart"/>
      <w:r w:rsidRPr="008C7D6F">
        <w:rPr>
          <w:sz w:val="20"/>
          <w:szCs w:val="20"/>
          <w:lang w:val="en"/>
        </w:rPr>
        <w:t>programmes</w:t>
      </w:r>
      <w:proofErr w:type="spellEnd"/>
      <w:r w:rsidRPr="008C7D6F">
        <w:rPr>
          <w:sz w:val="20"/>
          <w:szCs w:val="20"/>
          <w:lang w:val="en"/>
        </w:rPr>
        <w:t>.</w:t>
      </w:r>
    </w:p>
    <w:p w:rsidR="00B67F71" w:rsidRDefault="00B67F71" w:rsidP="00B67F71">
      <w:pPr>
        <w:pStyle w:val="Heading2"/>
        <w:spacing w:before="0" w:beforeAutospacing="0" w:after="0" w:afterAutospacing="0"/>
        <w:rPr>
          <w:sz w:val="20"/>
          <w:szCs w:val="20"/>
          <w:lang w:val="en"/>
        </w:rPr>
      </w:pPr>
      <w:bookmarkStart w:id="4" w:name="exams"/>
      <w:bookmarkEnd w:id="4"/>
    </w:p>
    <w:p w:rsidR="00B67F71" w:rsidRPr="008C7D6F" w:rsidRDefault="00B67F71" w:rsidP="00B67F71">
      <w:pPr>
        <w:pStyle w:val="Heading2"/>
        <w:spacing w:before="0" w:beforeAutospacing="0" w:after="0" w:afterAutospacing="0"/>
        <w:rPr>
          <w:sz w:val="20"/>
          <w:szCs w:val="20"/>
          <w:lang w:val="en"/>
        </w:rPr>
      </w:pPr>
      <w:r>
        <w:rPr>
          <w:sz w:val="20"/>
          <w:szCs w:val="20"/>
          <w:lang w:val="en"/>
        </w:rPr>
        <w:t xml:space="preserve">4. </w:t>
      </w:r>
      <w:r w:rsidRPr="008C7D6F">
        <w:rPr>
          <w:sz w:val="20"/>
          <w:szCs w:val="20"/>
          <w:lang w:val="en"/>
        </w:rPr>
        <w:t>What about exams?</w:t>
      </w:r>
    </w:p>
    <w:p w:rsidR="00B67F71" w:rsidRPr="008C7D6F" w:rsidRDefault="00B67F71" w:rsidP="00B67F71">
      <w:pPr>
        <w:pStyle w:val="NormalWeb"/>
        <w:spacing w:before="0" w:beforeAutospacing="0" w:after="0" w:afterAutospacing="0"/>
        <w:rPr>
          <w:sz w:val="20"/>
          <w:szCs w:val="20"/>
          <w:lang w:val="en"/>
        </w:rPr>
      </w:pPr>
      <w:r w:rsidRPr="008C7D6F">
        <w:rPr>
          <w:sz w:val="20"/>
          <w:szCs w:val="20"/>
          <w:lang w:val="en"/>
        </w:rPr>
        <w:t xml:space="preserve">Assessment is a key part of any worthwhile learning </w:t>
      </w:r>
      <w:proofErr w:type="spellStart"/>
      <w:r w:rsidRPr="008C7D6F">
        <w:rPr>
          <w:sz w:val="20"/>
          <w:szCs w:val="20"/>
          <w:lang w:val="en"/>
        </w:rPr>
        <w:t>programme</w:t>
      </w:r>
      <w:proofErr w:type="spellEnd"/>
      <w:r w:rsidRPr="008C7D6F">
        <w:rPr>
          <w:sz w:val="20"/>
          <w:szCs w:val="20"/>
          <w:lang w:val="en"/>
        </w:rPr>
        <w:t xml:space="preserve">. Transition Year is an opportunity to move beyond the narrow focus of end-of-year, written exams. The emphasis is on varied and on-going assessment with students themselves becoming involved in diagnosing their own learning strengths and weaknesses. Project work, portfolio work and exhibitions of students’ work are also encouraged. Each individual school makes its </w:t>
      </w:r>
      <w:proofErr w:type="spellStart"/>
      <w:r w:rsidRPr="008C7D6F">
        <w:rPr>
          <w:sz w:val="20"/>
          <w:szCs w:val="20"/>
          <w:lang w:val="en"/>
        </w:rPr>
        <w:t>won</w:t>
      </w:r>
      <w:proofErr w:type="spellEnd"/>
      <w:r w:rsidRPr="008C7D6F">
        <w:rPr>
          <w:sz w:val="20"/>
          <w:szCs w:val="20"/>
          <w:lang w:val="en"/>
        </w:rPr>
        <w:t xml:space="preserve"> arrangements for reporting to parents and for the certifications of students who complete a TY </w:t>
      </w:r>
      <w:proofErr w:type="spellStart"/>
      <w:r w:rsidRPr="008C7D6F">
        <w:rPr>
          <w:sz w:val="20"/>
          <w:szCs w:val="20"/>
          <w:lang w:val="en"/>
        </w:rPr>
        <w:t>programme</w:t>
      </w:r>
      <w:proofErr w:type="spellEnd"/>
      <w:r w:rsidRPr="008C7D6F">
        <w:rPr>
          <w:sz w:val="20"/>
          <w:szCs w:val="20"/>
          <w:lang w:val="en"/>
        </w:rPr>
        <w:t>.</w:t>
      </w:r>
    </w:p>
    <w:p w:rsidR="00B67F71" w:rsidRDefault="00B67F71" w:rsidP="00B67F71">
      <w:pPr>
        <w:pStyle w:val="Heading2"/>
        <w:spacing w:before="0" w:beforeAutospacing="0" w:after="0" w:afterAutospacing="0"/>
        <w:rPr>
          <w:sz w:val="20"/>
          <w:szCs w:val="20"/>
          <w:lang w:val="en"/>
        </w:rPr>
      </w:pPr>
      <w:bookmarkStart w:id="5" w:name="leaving_cert"/>
      <w:bookmarkEnd w:id="5"/>
    </w:p>
    <w:p w:rsidR="00B67F71" w:rsidRPr="008C7D6F" w:rsidRDefault="00B67F71" w:rsidP="00B67F71">
      <w:pPr>
        <w:pStyle w:val="Heading2"/>
        <w:spacing w:before="0" w:beforeAutospacing="0" w:after="0" w:afterAutospacing="0"/>
        <w:rPr>
          <w:sz w:val="20"/>
          <w:szCs w:val="20"/>
          <w:lang w:val="en"/>
        </w:rPr>
      </w:pPr>
      <w:r>
        <w:rPr>
          <w:sz w:val="20"/>
          <w:szCs w:val="20"/>
          <w:lang w:val="en"/>
        </w:rPr>
        <w:t xml:space="preserve">5. </w:t>
      </w:r>
      <w:r w:rsidRPr="008C7D6F">
        <w:rPr>
          <w:sz w:val="20"/>
          <w:szCs w:val="20"/>
          <w:lang w:val="en"/>
        </w:rPr>
        <w:t xml:space="preserve">Can the Transition Year be part of a three-year Leaving Certificate </w:t>
      </w:r>
      <w:proofErr w:type="spellStart"/>
      <w:r w:rsidRPr="008C7D6F">
        <w:rPr>
          <w:sz w:val="20"/>
          <w:szCs w:val="20"/>
          <w:lang w:val="en"/>
        </w:rPr>
        <w:t>programme</w:t>
      </w:r>
      <w:proofErr w:type="spellEnd"/>
      <w:r w:rsidRPr="008C7D6F">
        <w:rPr>
          <w:sz w:val="20"/>
          <w:szCs w:val="20"/>
          <w:lang w:val="en"/>
        </w:rPr>
        <w:t>?</w:t>
      </w:r>
    </w:p>
    <w:p w:rsidR="00B67F71" w:rsidRPr="003C7C1F" w:rsidRDefault="00B67F71" w:rsidP="00B67F71">
      <w:pPr>
        <w:pStyle w:val="NormalWeb"/>
        <w:spacing w:before="0" w:beforeAutospacing="0" w:after="0" w:afterAutospacing="0"/>
        <w:rPr>
          <w:sz w:val="20"/>
          <w:szCs w:val="20"/>
          <w:lang w:val="en"/>
        </w:rPr>
      </w:pPr>
      <w:r w:rsidRPr="008C7D6F">
        <w:rPr>
          <w:sz w:val="20"/>
          <w:szCs w:val="20"/>
          <w:lang w:val="en"/>
        </w:rPr>
        <w:t xml:space="preserve">The Transition Year </w:t>
      </w:r>
      <w:proofErr w:type="spellStart"/>
      <w:r w:rsidRPr="008C7D6F">
        <w:rPr>
          <w:sz w:val="20"/>
          <w:szCs w:val="20"/>
          <w:lang w:val="en"/>
        </w:rPr>
        <w:t>programme</w:t>
      </w:r>
      <w:proofErr w:type="spellEnd"/>
      <w:r w:rsidRPr="008C7D6F">
        <w:rPr>
          <w:sz w:val="20"/>
          <w:szCs w:val="20"/>
          <w:lang w:val="en"/>
        </w:rPr>
        <w:t xml:space="preserve"> is a school-designed, distinctive </w:t>
      </w:r>
      <w:proofErr w:type="spellStart"/>
      <w:r w:rsidRPr="008C7D6F">
        <w:rPr>
          <w:sz w:val="20"/>
          <w:szCs w:val="20"/>
          <w:lang w:val="en"/>
        </w:rPr>
        <w:t>programme</w:t>
      </w:r>
      <w:proofErr w:type="spellEnd"/>
      <w:r w:rsidRPr="008C7D6F">
        <w:rPr>
          <w:sz w:val="20"/>
          <w:szCs w:val="20"/>
          <w:lang w:val="en"/>
        </w:rPr>
        <w:t xml:space="preserve"> and </w:t>
      </w:r>
      <w:r w:rsidRPr="008C7D6F">
        <w:rPr>
          <w:rStyle w:val="Strong"/>
          <w:sz w:val="20"/>
          <w:szCs w:val="20"/>
          <w:lang w:val="en"/>
        </w:rPr>
        <w:t xml:space="preserve">should </w:t>
      </w:r>
      <w:r w:rsidRPr="008C7D6F">
        <w:rPr>
          <w:rStyle w:val="Strong"/>
          <w:sz w:val="20"/>
          <w:szCs w:val="20"/>
          <w:u w:val="single"/>
          <w:lang w:val="en"/>
        </w:rPr>
        <w:t>not</w:t>
      </w:r>
      <w:r w:rsidRPr="008C7D6F">
        <w:rPr>
          <w:rStyle w:val="Strong"/>
          <w:sz w:val="20"/>
          <w:szCs w:val="20"/>
          <w:lang w:val="en"/>
        </w:rPr>
        <w:t xml:space="preserve"> constitute year one of a three-year Leaving Certificate</w:t>
      </w:r>
      <w:r w:rsidRPr="008C7D6F">
        <w:rPr>
          <w:sz w:val="20"/>
          <w:szCs w:val="20"/>
          <w:lang w:val="en"/>
        </w:rPr>
        <w:t xml:space="preserve">. TY is part of the Senior Cycle experience and lays a solid foundation for Leaving Certificate studies. TY </w:t>
      </w:r>
      <w:proofErr w:type="spellStart"/>
      <w:r w:rsidRPr="008C7D6F">
        <w:rPr>
          <w:sz w:val="20"/>
          <w:szCs w:val="20"/>
          <w:lang w:val="en"/>
        </w:rPr>
        <w:t>programmes</w:t>
      </w:r>
      <w:proofErr w:type="spellEnd"/>
      <w:r w:rsidRPr="008C7D6F">
        <w:rPr>
          <w:sz w:val="20"/>
          <w:szCs w:val="20"/>
          <w:lang w:val="en"/>
        </w:rPr>
        <w:t xml:space="preserve"> should challenge students intellectually, give them an orientation to the world of work and cater for the development of their personal and social awareness. Research has shown that students who take TY achieve, on average, </w:t>
      </w:r>
      <w:r w:rsidRPr="003C7C1F">
        <w:rPr>
          <w:sz w:val="20"/>
          <w:szCs w:val="20"/>
          <w:lang w:val="en"/>
        </w:rPr>
        <w:t>higher points in the Leaving Certificate exam; this is perhaps due to the development of their general study skills as well as the skills required for each individual subject.</w:t>
      </w:r>
    </w:p>
    <w:p w:rsidR="00B67F71" w:rsidRPr="003C7C1F" w:rsidRDefault="00B67F71" w:rsidP="00B67F71">
      <w:pPr>
        <w:rPr>
          <w:sz w:val="20"/>
          <w:szCs w:val="20"/>
        </w:rPr>
      </w:pPr>
    </w:p>
    <w:p w:rsidR="00B67F71" w:rsidRPr="007F200E" w:rsidRDefault="00B67F71" w:rsidP="00B67F71">
      <w:pPr>
        <w:rPr>
          <w:b/>
          <w:sz w:val="20"/>
          <w:szCs w:val="20"/>
        </w:rPr>
      </w:pPr>
      <w:r>
        <w:rPr>
          <w:b/>
          <w:sz w:val="20"/>
          <w:szCs w:val="20"/>
        </w:rPr>
        <w:t>6</w:t>
      </w:r>
      <w:r w:rsidRPr="007F200E">
        <w:rPr>
          <w:b/>
          <w:sz w:val="20"/>
          <w:szCs w:val="20"/>
        </w:rPr>
        <w:t>. Assessment</w:t>
      </w:r>
    </w:p>
    <w:p w:rsidR="00B67F71" w:rsidRPr="003C7C1F" w:rsidRDefault="00B67F71" w:rsidP="00B67F71">
      <w:pPr>
        <w:pStyle w:val="NormalWeb"/>
        <w:spacing w:before="0" w:beforeAutospacing="0" w:after="0" w:afterAutospacing="0"/>
        <w:rPr>
          <w:sz w:val="20"/>
          <w:szCs w:val="20"/>
          <w:lang w:val="en"/>
        </w:rPr>
      </w:pPr>
      <w:r w:rsidRPr="003C7C1F">
        <w:rPr>
          <w:sz w:val="20"/>
          <w:szCs w:val="20"/>
          <w:lang w:val="en"/>
        </w:rPr>
        <w:t>The Transition Year Guidelines for Schools (Dept. of Education 1994/95) state:</w:t>
      </w:r>
    </w:p>
    <w:p w:rsidR="00B67F71" w:rsidRPr="003C7C1F" w:rsidRDefault="00B67F71" w:rsidP="00B67F71">
      <w:pPr>
        <w:pStyle w:val="NormalWeb"/>
        <w:spacing w:before="0" w:beforeAutospacing="0" w:after="0" w:afterAutospacing="0"/>
        <w:rPr>
          <w:sz w:val="20"/>
          <w:szCs w:val="20"/>
          <w:lang w:val="en"/>
        </w:rPr>
      </w:pPr>
      <w:r w:rsidRPr="003C7C1F">
        <w:rPr>
          <w:sz w:val="20"/>
          <w:szCs w:val="20"/>
          <w:lang w:val="en"/>
        </w:rPr>
        <w:t xml:space="preserve"> Appropriate modes of assessment should be chosen to complement the variety of approaches used in implementing the </w:t>
      </w:r>
      <w:proofErr w:type="spellStart"/>
      <w:r w:rsidRPr="003C7C1F">
        <w:rPr>
          <w:sz w:val="20"/>
          <w:szCs w:val="20"/>
          <w:lang w:val="en"/>
        </w:rPr>
        <w:t>programme</w:t>
      </w:r>
      <w:proofErr w:type="spellEnd"/>
      <w:r w:rsidRPr="003C7C1F">
        <w:rPr>
          <w:sz w:val="20"/>
          <w:szCs w:val="20"/>
          <w:lang w:val="en"/>
        </w:rPr>
        <w:t xml:space="preserve"> and may include the </w:t>
      </w:r>
      <w:proofErr w:type="gramStart"/>
      <w:r w:rsidRPr="003C7C1F">
        <w:rPr>
          <w:sz w:val="20"/>
          <w:szCs w:val="20"/>
          <w:lang w:val="en"/>
        </w:rPr>
        <w:t>following :</w:t>
      </w:r>
      <w:proofErr w:type="gramEnd"/>
    </w:p>
    <w:p w:rsidR="00B67F71" w:rsidRPr="003C7C1F" w:rsidRDefault="00B67F71" w:rsidP="00B67F71">
      <w:pPr>
        <w:numPr>
          <w:ilvl w:val="0"/>
          <w:numId w:val="2"/>
        </w:numPr>
        <w:ind w:left="0"/>
        <w:rPr>
          <w:sz w:val="20"/>
          <w:szCs w:val="20"/>
          <w:lang w:val="en"/>
        </w:rPr>
      </w:pPr>
      <w:r w:rsidRPr="003C7C1F">
        <w:rPr>
          <w:sz w:val="20"/>
          <w:szCs w:val="20"/>
          <w:lang w:val="en"/>
        </w:rPr>
        <w:t>Summative assessment</w:t>
      </w:r>
    </w:p>
    <w:p w:rsidR="00B67F71" w:rsidRPr="003C7C1F" w:rsidRDefault="00B67F71" w:rsidP="00B67F71">
      <w:pPr>
        <w:numPr>
          <w:ilvl w:val="0"/>
          <w:numId w:val="2"/>
        </w:numPr>
        <w:ind w:left="0"/>
        <w:rPr>
          <w:sz w:val="20"/>
          <w:szCs w:val="20"/>
          <w:lang w:val="en"/>
        </w:rPr>
      </w:pPr>
      <w:r w:rsidRPr="003C7C1F">
        <w:rPr>
          <w:sz w:val="20"/>
          <w:szCs w:val="20"/>
          <w:lang w:val="en"/>
        </w:rPr>
        <w:t>Written , practical, oral and aural assessment</w:t>
      </w:r>
    </w:p>
    <w:p w:rsidR="00B67F71" w:rsidRPr="003C7C1F" w:rsidRDefault="00B67F71" w:rsidP="00B67F71">
      <w:pPr>
        <w:numPr>
          <w:ilvl w:val="0"/>
          <w:numId w:val="2"/>
        </w:numPr>
        <w:ind w:left="0"/>
        <w:rPr>
          <w:sz w:val="20"/>
          <w:szCs w:val="20"/>
          <w:lang w:val="en"/>
        </w:rPr>
      </w:pPr>
      <w:r w:rsidRPr="003C7C1F">
        <w:rPr>
          <w:sz w:val="20"/>
          <w:szCs w:val="20"/>
          <w:lang w:val="en"/>
        </w:rPr>
        <w:t>Report of Work experience</w:t>
      </w:r>
    </w:p>
    <w:p w:rsidR="00B67F71" w:rsidRPr="003C7C1F" w:rsidRDefault="00B67F71" w:rsidP="00B67F71">
      <w:pPr>
        <w:numPr>
          <w:ilvl w:val="0"/>
          <w:numId w:val="2"/>
        </w:numPr>
        <w:ind w:left="0"/>
        <w:rPr>
          <w:sz w:val="20"/>
          <w:szCs w:val="20"/>
          <w:lang w:val="en"/>
        </w:rPr>
      </w:pPr>
      <w:r w:rsidRPr="003C7C1F">
        <w:rPr>
          <w:sz w:val="20"/>
          <w:szCs w:val="20"/>
          <w:lang w:val="en"/>
        </w:rPr>
        <w:t>Projects , Portfolios and exhibitions of Work</w:t>
      </w:r>
    </w:p>
    <w:p w:rsidR="00B67F71" w:rsidRPr="003C7C1F" w:rsidRDefault="00B67F71" w:rsidP="00B67F71">
      <w:pPr>
        <w:numPr>
          <w:ilvl w:val="0"/>
          <w:numId w:val="2"/>
        </w:numPr>
        <w:ind w:left="0"/>
        <w:rPr>
          <w:sz w:val="20"/>
          <w:szCs w:val="20"/>
          <w:lang w:val="en"/>
        </w:rPr>
      </w:pPr>
      <w:r w:rsidRPr="003C7C1F">
        <w:rPr>
          <w:sz w:val="20"/>
          <w:szCs w:val="20"/>
          <w:lang w:val="en"/>
        </w:rPr>
        <w:t>Pupil diary /Log Book recording personal progress</w:t>
      </w:r>
    </w:p>
    <w:p w:rsidR="00B67F71" w:rsidRPr="003C7C1F" w:rsidRDefault="00B67F71" w:rsidP="00B67F71">
      <w:pPr>
        <w:numPr>
          <w:ilvl w:val="0"/>
          <w:numId w:val="2"/>
        </w:numPr>
        <w:ind w:left="0"/>
        <w:rPr>
          <w:sz w:val="20"/>
          <w:szCs w:val="20"/>
          <w:lang w:val="en"/>
        </w:rPr>
      </w:pPr>
      <w:r w:rsidRPr="003C7C1F">
        <w:rPr>
          <w:sz w:val="20"/>
          <w:szCs w:val="20"/>
          <w:lang w:val="en"/>
        </w:rPr>
        <w:t>Records of skills and competencies attained.</w:t>
      </w:r>
    </w:p>
    <w:p w:rsidR="00B67F71" w:rsidRPr="003C7C1F" w:rsidRDefault="00B67F71" w:rsidP="00B67F71">
      <w:pPr>
        <w:pStyle w:val="NormalWeb"/>
        <w:spacing w:before="0" w:beforeAutospacing="0" w:after="0" w:afterAutospacing="0"/>
        <w:rPr>
          <w:sz w:val="20"/>
          <w:szCs w:val="20"/>
          <w:lang w:val="en"/>
        </w:rPr>
      </w:pPr>
      <w:r w:rsidRPr="003C7C1F">
        <w:rPr>
          <w:sz w:val="20"/>
          <w:szCs w:val="20"/>
          <w:lang w:val="en"/>
        </w:rPr>
        <w:t>   The Evaluation of Transition Year by the Inspectorate (1994/1995) states:</w:t>
      </w:r>
    </w:p>
    <w:p w:rsidR="00B67F71" w:rsidRPr="003C7C1F" w:rsidRDefault="00B67F71" w:rsidP="00B67F71">
      <w:pPr>
        <w:numPr>
          <w:ilvl w:val="0"/>
          <w:numId w:val="3"/>
        </w:numPr>
        <w:ind w:left="0"/>
        <w:rPr>
          <w:sz w:val="20"/>
          <w:szCs w:val="20"/>
          <w:lang w:val="en"/>
        </w:rPr>
      </w:pPr>
      <w:r w:rsidRPr="003C7C1F">
        <w:rPr>
          <w:sz w:val="20"/>
          <w:szCs w:val="20"/>
          <w:lang w:val="en"/>
        </w:rPr>
        <w:t xml:space="preserve"> Inspectors found approaches to assessment varied widely from school to </w:t>
      </w:r>
      <w:proofErr w:type="spellStart"/>
      <w:r w:rsidRPr="003C7C1F">
        <w:rPr>
          <w:sz w:val="20"/>
          <w:szCs w:val="20"/>
          <w:lang w:val="en"/>
        </w:rPr>
        <w:t>school.In</w:t>
      </w:r>
      <w:proofErr w:type="spellEnd"/>
      <w:r w:rsidRPr="003C7C1F">
        <w:rPr>
          <w:sz w:val="20"/>
          <w:szCs w:val="20"/>
          <w:lang w:val="en"/>
        </w:rPr>
        <w:t xml:space="preserve"> some schools there appeared to be very little extra by way of assessment. This was particularly true of schools where there was not an effective core team in operation.</w:t>
      </w:r>
    </w:p>
    <w:p w:rsidR="00B67F71" w:rsidRPr="003C7C1F" w:rsidRDefault="00B67F71" w:rsidP="00B67F71">
      <w:pPr>
        <w:numPr>
          <w:ilvl w:val="0"/>
          <w:numId w:val="3"/>
        </w:numPr>
        <w:ind w:left="0"/>
        <w:rPr>
          <w:sz w:val="20"/>
          <w:szCs w:val="20"/>
          <w:lang w:val="en"/>
        </w:rPr>
      </w:pPr>
      <w:r w:rsidRPr="003C7C1F">
        <w:rPr>
          <w:sz w:val="20"/>
          <w:szCs w:val="20"/>
          <w:lang w:val="en"/>
        </w:rPr>
        <w:lastRenderedPageBreak/>
        <w:t xml:space="preserve">The involvement of teachers, parents, work providers and pupils themselves in pupil assessment procedures could be greatly improved upon in many of the schools offering the </w:t>
      </w:r>
      <w:proofErr w:type="spellStart"/>
      <w:r w:rsidRPr="003C7C1F">
        <w:rPr>
          <w:sz w:val="20"/>
          <w:szCs w:val="20"/>
          <w:lang w:val="en"/>
        </w:rPr>
        <w:t>programme</w:t>
      </w:r>
      <w:proofErr w:type="spellEnd"/>
      <w:r w:rsidRPr="003C7C1F">
        <w:rPr>
          <w:sz w:val="20"/>
          <w:szCs w:val="20"/>
          <w:lang w:val="en"/>
        </w:rPr>
        <w:t xml:space="preserve"> </w:t>
      </w:r>
      <w:r w:rsidRPr="003C7C1F">
        <w:rPr>
          <w:rStyle w:val="Emphasis"/>
          <w:sz w:val="20"/>
          <w:szCs w:val="20"/>
          <w:lang w:val="en"/>
        </w:rPr>
        <w:t>(Recommendation No. 8).</w:t>
      </w:r>
    </w:p>
    <w:p w:rsidR="00B67F71" w:rsidRDefault="00B67F71" w:rsidP="00B67F71"/>
    <w:p w:rsidR="00540C8A" w:rsidRDefault="00B67F71" w:rsidP="00B67F71">
      <w:r>
        <w:rPr>
          <w:noProof/>
          <w:lang w:val="en-IE" w:eastAsia="en-IE"/>
        </w:rPr>
        <w:drawing>
          <wp:anchor distT="0" distB="0" distL="114300" distR="114300" simplePos="0" relativeHeight="251663360" behindDoc="1" locked="0" layoutInCell="1" allowOverlap="1" wp14:anchorId="2FF622BD" wp14:editId="109F8A66">
            <wp:simplePos x="0" y="0"/>
            <wp:positionH relativeFrom="column">
              <wp:posOffset>8591550</wp:posOffset>
            </wp:positionH>
            <wp:positionV relativeFrom="paragraph">
              <wp:posOffset>916305</wp:posOffset>
            </wp:positionV>
            <wp:extent cx="1333500" cy="843915"/>
            <wp:effectExtent l="0" t="0" r="0" b="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43915"/>
                    </a:xfrm>
                    <a:prstGeom prst="rect">
                      <a:avLst/>
                    </a:prstGeom>
                    <a:noFill/>
                  </pic:spPr>
                </pic:pic>
              </a:graphicData>
            </a:graphic>
            <wp14:sizeRelH relativeFrom="page">
              <wp14:pctWidth>0</wp14:pctWidth>
            </wp14:sizeRelH>
            <wp14:sizeRelV relativeFrom="page">
              <wp14:pctHeight>0</wp14:pctHeight>
            </wp14:sizeRelV>
          </wp:anchor>
        </w:drawing>
      </w:r>
      <w:bookmarkStart w:id="6" w:name="_GoBack"/>
      <w:bookmarkEnd w:id="6"/>
    </w:p>
    <w:sectPr w:rsidR="00540C8A">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4D" w:rsidRDefault="00B67F71">
    <w:pPr>
      <w:pStyle w:val="Footer"/>
    </w:pPr>
    <w:r>
      <w:t>Ms L Walsh Programmes Co-ordinator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4D" w:rsidRDefault="00B67F71">
    <w:pPr>
      <w:pStyle w:val="Header"/>
    </w:pPr>
    <w:r>
      <w:t>RCS Transition Year Programme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459C"/>
    <w:multiLevelType w:val="multilevel"/>
    <w:tmpl w:val="665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A11EE"/>
    <w:multiLevelType w:val="hybridMultilevel"/>
    <w:tmpl w:val="F1B69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F727C2"/>
    <w:multiLevelType w:val="multilevel"/>
    <w:tmpl w:val="0E2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71"/>
    <w:rsid w:val="00B67F71"/>
    <w:rsid w:val="00E837E0"/>
    <w:rsid w:val="00EF59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7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qFormat/>
    <w:rsid w:val="00B67F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F71"/>
    <w:rPr>
      <w:rFonts w:ascii="Times New Roman" w:eastAsia="Times New Roman" w:hAnsi="Times New Roman" w:cs="Times New Roman"/>
      <w:b/>
      <w:bCs/>
      <w:sz w:val="36"/>
      <w:szCs w:val="36"/>
      <w:lang w:val="en-GB" w:eastAsia="en-GB"/>
    </w:rPr>
  </w:style>
  <w:style w:type="paragraph" w:styleId="NormalWeb">
    <w:name w:val="Normal (Web)"/>
    <w:basedOn w:val="Normal"/>
    <w:rsid w:val="00B67F71"/>
    <w:pPr>
      <w:spacing w:before="100" w:beforeAutospacing="1" w:after="100" w:afterAutospacing="1"/>
    </w:pPr>
  </w:style>
  <w:style w:type="character" w:styleId="Strong">
    <w:name w:val="Strong"/>
    <w:qFormat/>
    <w:rsid w:val="00B67F71"/>
    <w:rPr>
      <w:b/>
      <w:bCs/>
    </w:rPr>
  </w:style>
  <w:style w:type="character" w:styleId="Emphasis">
    <w:name w:val="Emphasis"/>
    <w:qFormat/>
    <w:rsid w:val="00B67F71"/>
    <w:rPr>
      <w:i/>
      <w:iCs/>
    </w:rPr>
  </w:style>
  <w:style w:type="paragraph" w:styleId="Header">
    <w:name w:val="header"/>
    <w:basedOn w:val="Normal"/>
    <w:link w:val="HeaderChar"/>
    <w:rsid w:val="00B67F71"/>
    <w:pPr>
      <w:tabs>
        <w:tab w:val="center" w:pos="4153"/>
        <w:tab w:val="right" w:pos="8306"/>
      </w:tabs>
    </w:pPr>
  </w:style>
  <w:style w:type="character" w:customStyle="1" w:styleId="HeaderChar">
    <w:name w:val="Header Char"/>
    <w:basedOn w:val="DefaultParagraphFont"/>
    <w:link w:val="Header"/>
    <w:rsid w:val="00B67F71"/>
    <w:rPr>
      <w:rFonts w:ascii="Times New Roman" w:eastAsia="Times New Roman" w:hAnsi="Times New Roman" w:cs="Times New Roman"/>
      <w:sz w:val="24"/>
      <w:szCs w:val="24"/>
      <w:lang w:val="en-GB" w:eastAsia="en-GB"/>
    </w:rPr>
  </w:style>
  <w:style w:type="paragraph" w:styleId="Footer">
    <w:name w:val="footer"/>
    <w:basedOn w:val="Normal"/>
    <w:link w:val="FooterChar"/>
    <w:rsid w:val="00B67F71"/>
    <w:pPr>
      <w:tabs>
        <w:tab w:val="center" w:pos="4153"/>
        <w:tab w:val="right" w:pos="8306"/>
      </w:tabs>
    </w:pPr>
  </w:style>
  <w:style w:type="character" w:customStyle="1" w:styleId="FooterChar">
    <w:name w:val="Footer Char"/>
    <w:basedOn w:val="DefaultParagraphFont"/>
    <w:link w:val="Footer"/>
    <w:rsid w:val="00B67F7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7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qFormat/>
    <w:rsid w:val="00B67F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F71"/>
    <w:rPr>
      <w:rFonts w:ascii="Times New Roman" w:eastAsia="Times New Roman" w:hAnsi="Times New Roman" w:cs="Times New Roman"/>
      <w:b/>
      <w:bCs/>
      <w:sz w:val="36"/>
      <w:szCs w:val="36"/>
      <w:lang w:val="en-GB" w:eastAsia="en-GB"/>
    </w:rPr>
  </w:style>
  <w:style w:type="paragraph" w:styleId="NormalWeb">
    <w:name w:val="Normal (Web)"/>
    <w:basedOn w:val="Normal"/>
    <w:rsid w:val="00B67F71"/>
    <w:pPr>
      <w:spacing w:before="100" w:beforeAutospacing="1" w:after="100" w:afterAutospacing="1"/>
    </w:pPr>
  </w:style>
  <w:style w:type="character" w:styleId="Strong">
    <w:name w:val="Strong"/>
    <w:qFormat/>
    <w:rsid w:val="00B67F71"/>
    <w:rPr>
      <w:b/>
      <w:bCs/>
    </w:rPr>
  </w:style>
  <w:style w:type="character" w:styleId="Emphasis">
    <w:name w:val="Emphasis"/>
    <w:qFormat/>
    <w:rsid w:val="00B67F71"/>
    <w:rPr>
      <w:i/>
      <w:iCs/>
    </w:rPr>
  </w:style>
  <w:style w:type="paragraph" w:styleId="Header">
    <w:name w:val="header"/>
    <w:basedOn w:val="Normal"/>
    <w:link w:val="HeaderChar"/>
    <w:rsid w:val="00B67F71"/>
    <w:pPr>
      <w:tabs>
        <w:tab w:val="center" w:pos="4153"/>
        <w:tab w:val="right" w:pos="8306"/>
      </w:tabs>
    </w:pPr>
  </w:style>
  <w:style w:type="character" w:customStyle="1" w:styleId="HeaderChar">
    <w:name w:val="Header Char"/>
    <w:basedOn w:val="DefaultParagraphFont"/>
    <w:link w:val="Header"/>
    <w:rsid w:val="00B67F71"/>
    <w:rPr>
      <w:rFonts w:ascii="Times New Roman" w:eastAsia="Times New Roman" w:hAnsi="Times New Roman" w:cs="Times New Roman"/>
      <w:sz w:val="24"/>
      <w:szCs w:val="24"/>
      <w:lang w:val="en-GB" w:eastAsia="en-GB"/>
    </w:rPr>
  </w:style>
  <w:style w:type="paragraph" w:styleId="Footer">
    <w:name w:val="footer"/>
    <w:basedOn w:val="Normal"/>
    <w:link w:val="FooterChar"/>
    <w:rsid w:val="00B67F71"/>
    <w:pPr>
      <w:tabs>
        <w:tab w:val="center" w:pos="4153"/>
        <w:tab w:val="right" w:pos="8306"/>
      </w:tabs>
    </w:pPr>
  </w:style>
  <w:style w:type="character" w:customStyle="1" w:styleId="FooterChar">
    <w:name w:val="Footer Char"/>
    <w:basedOn w:val="DefaultParagraphFont"/>
    <w:link w:val="Footer"/>
    <w:rsid w:val="00B67F7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2014-01-17T21:40:00Z</dcterms:created>
  <dcterms:modified xsi:type="dcterms:W3CDTF">2014-01-17T21:43:00Z</dcterms:modified>
</cp:coreProperties>
</file>